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94"/>
        <w:gridCol w:w="477"/>
        <w:gridCol w:w="2646"/>
        <w:gridCol w:w="1735"/>
      </w:tblGrid>
      <w:tr w:rsidR="00ED7E22" w:rsidRPr="00037658" w14:paraId="15DC245A" w14:textId="77777777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14:paraId="34615A9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14:paraId="59A2FFDF" w14:textId="77777777" w:rsidTr="000A3772">
        <w:tc>
          <w:tcPr>
            <w:tcW w:w="14192" w:type="dxa"/>
            <w:gridSpan w:val="4"/>
            <w:tcBorders>
              <w:top w:val="nil"/>
            </w:tcBorders>
          </w:tcPr>
          <w:p w14:paraId="496EDFB7" w14:textId="711581D1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533E49">
              <w:rPr>
                <w:rFonts w:cstheme="minorHAnsi"/>
                <w:bCs/>
                <w:sz w:val="24"/>
                <w:szCs w:val="24"/>
              </w:rPr>
              <w:t xml:space="preserve">For 2019, VQI Regional Reports indicate that </w:t>
            </w:r>
            <w:r w:rsidR="0081738B">
              <w:rPr>
                <w:rFonts w:cstheme="minorHAnsi"/>
                <w:bCs/>
                <w:sz w:val="24"/>
                <w:szCs w:val="24"/>
              </w:rPr>
              <w:t>Hospital X</w:t>
            </w:r>
            <w:r w:rsidR="00533E49">
              <w:rPr>
                <w:rFonts w:cstheme="minorHAnsi"/>
                <w:bCs/>
                <w:sz w:val="24"/>
                <w:szCs w:val="24"/>
              </w:rPr>
              <w:t xml:space="preserve"> had </w:t>
            </w:r>
            <w:r w:rsidR="001162D9">
              <w:rPr>
                <w:rFonts w:cstheme="minorHAnsi"/>
                <w:bCs/>
                <w:sz w:val="24"/>
                <w:szCs w:val="24"/>
              </w:rPr>
              <w:t>__</w:t>
            </w:r>
            <w:r w:rsidR="00533E49">
              <w:rPr>
                <w:rFonts w:cstheme="minorHAnsi"/>
                <w:bCs/>
                <w:sz w:val="24"/>
                <w:szCs w:val="24"/>
              </w:rPr>
              <w:t xml:space="preserve">% of </w:t>
            </w:r>
            <w:r w:rsidR="005E7293">
              <w:rPr>
                <w:rFonts w:cstheme="minorHAnsi"/>
                <w:bCs/>
                <w:sz w:val="24"/>
                <w:szCs w:val="24"/>
              </w:rPr>
              <w:t xml:space="preserve">EVAR </w:t>
            </w:r>
            <w:r w:rsidR="00533E49">
              <w:rPr>
                <w:rFonts w:cstheme="minorHAnsi"/>
                <w:bCs/>
                <w:sz w:val="24"/>
                <w:szCs w:val="24"/>
              </w:rPr>
              <w:t xml:space="preserve">Elective Patients with AAA Diameter within SVS Guideline </w:t>
            </w:r>
            <w:r w:rsidR="00533E49" w:rsidRPr="00533E49">
              <w:rPr>
                <w:rFonts w:cstheme="minorHAnsi"/>
                <w:bCs/>
                <w:sz w:val="24"/>
                <w:szCs w:val="24"/>
              </w:rPr>
              <w:t>(≥5.5cm for Men; ≥5 cm for Women)</w:t>
            </w:r>
            <w:r w:rsidR="005E7293">
              <w:rPr>
                <w:rFonts w:cstheme="minorHAnsi"/>
                <w:bCs/>
                <w:sz w:val="24"/>
                <w:szCs w:val="24"/>
              </w:rPr>
              <w:t xml:space="preserve">. It is important to identify patients who are undergoing intervention without meeting SVS guidelines for repair. However, </w:t>
            </w:r>
            <w:r w:rsidR="0015204B">
              <w:rPr>
                <w:rFonts w:cstheme="minorHAnsi"/>
                <w:bCs/>
                <w:sz w:val="24"/>
                <w:szCs w:val="24"/>
              </w:rPr>
              <w:t xml:space="preserve">there is also a potential for variations in inter-operator reliability that can be impacting this data.  </w:t>
            </w:r>
          </w:p>
          <w:p w14:paraId="3D895C3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13B2EA58" w14:textId="77777777" w:rsidTr="000A3772">
        <w:tc>
          <w:tcPr>
            <w:tcW w:w="14192" w:type="dxa"/>
            <w:gridSpan w:val="4"/>
          </w:tcPr>
          <w:p w14:paraId="50D8AD4C" w14:textId="14B618D6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9C2F1C">
              <w:rPr>
                <w:rFonts w:cstheme="minorHAnsi"/>
                <w:bCs/>
                <w:sz w:val="24"/>
                <w:szCs w:val="24"/>
              </w:rPr>
              <w:t xml:space="preserve">This retrospective </w:t>
            </w:r>
            <w:r w:rsidR="000F5B5C">
              <w:rPr>
                <w:rFonts w:cstheme="minorHAnsi"/>
                <w:bCs/>
                <w:sz w:val="24"/>
                <w:szCs w:val="24"/>
              </w:rPr>
              <w:t xml:space="preserve">review </w:t>
            </w:r>
            <w:r w:rsidR="009C2F1C">
              <w:rPr>
                <w:rFonts w:cstheme="minorHAnsi"/>
                <w:bCs/>
                <w:sz w:val="24"/>
                <w:szCs w:val="24"/>
              </w:rPr>
              <w:t>of cases from January 1, 2017 through December 31</w:t>
            </w:r>
            <w:r w:rsidR="009C2F1C" w:rsidRPr="009C2F1C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="009C2F1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0F5B5C">
              <w:rPr>
                <w:rFonts w:cstheme="minorHAnsi"/>
                <w:bCs/>
                <w:sz w:val="24"/>
                <w:szCs w:val="24"/>
              </w:rPr>
              <w:t>2018</w:t>
            </w:r>
            <w:r w:rsidR="009C2F1C">
              <w:rPr>
                <w:rFonts w:cstheme="minorHAnsi"/>
                <w:bCs/>
                <w:sz w:val="24"/>
                <w:szCs w:val="24"/>
              </w:rPr>
              <w:t xml:space="preserve"> will identify</w:t>
            </w:r>
            <w:r w:rsidR="0045465E">
              <w:rPr>
                <w:rFonts w:cstheme="minorHAnsi"/>
                <w:bCs/>
                <w:sz w:val="24"/>
                <w:szCs w:val="24"/>
              </w:rPr>
              <w:t xml:space="preserve"> mitigating factors such as aortoiliac occlusive disease, rapid growth, and aneurysm symptoms </w:t>
            </w:r>
            <w:r w:rsidR="009C2F1C">
              <w:rPr>
                <w:rFonts w:cstheme="minorHAnsi"/>
                <w:bCs/>
                <w:sz w:val="24"/>
                <w:szCs w:val="24"/>
              </w:rPr>
              <w:t xml:space="preserve">for patients who don’t meet SVS guidelines for elective EVAR. </w:t>
            </w:r>
            <w:r w:rsidR="00284465">
              <w:rPr>
                <w:rFonts w:cstheme="minorHAnsi"/>
                <w:bCs/>
                <w:sz w:val="24"/>
                <w:szCs w:val="24"/>
              </w:rPr>
              <w:t xml:space="preserve">Data collection should be complete by February 28, 2021.  </w:t>
            </w:r>
          </w:p>
          <w:p w14:paraId="237D29A2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70131997" w14:textId="77777777" w:rsidTr="000A3772">
        <w:tc>
          <w:tcPr>
            <w:tcW w:w="14192" w:type="dxa"/>
            <w:gridSpan w:val="4"/>
          </w:tcPr>
          <w:p w14:paraId="7241B7C0" w14:textId="08AB3ABC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r w:rsidR="0015204B">
              <w:rPr>
                <w:rFonts w:cstheme="minorHAnsi"/>
                <w:bCs/>
                <w:sz w:val="24"/>
                <w:szCs w:val="24"/>
              </w:rPr>
              <w:t xml:space="preserve">This project will include </w:t>
            </w:r>
            <w:r w:rsidR="00667EA2">
              <w:rPr>
                <w:rFonts w:cstheme="minorHAnsi"/>
                <w:bCs/>
                <w:sz w:val="24"/>
                <w:szCs w:val="24"/>
              </w:rPr>
              <w:t>the Operating P</w:t>
            </w:r>
            <w:r w:rsidR="00FF147D">
              <w:rPr>
                <w:rFonts w:cstheme="minorHAnsi"/>
                <w:bCs/>
                <w:sz w:val="24"/>
                <w:szCs w:val="24"/>
              </w:rPr>
              <w:t>hysician and VQI Data Manager</w:t>
            </w:r>
            <w:r w:rsidR="0015204B">
              <w:rPr>
                <w:rFonts w:cstheme="minorHAnsi"/>
                <w:bCs/>
                <w:sz w:val="24"/>
                <w:szCs w:val="24"/>
              </w:rPr>
              <w:t>.</w:t>
            </w:r>
            <w:r w:rsidR="0045465E">
              <w:rPr>
                <w:rFonts w:cstheme="minorHAnsi"/>
                <w:bCs/>
                <w:sz w:val="24"/>
                <w:szCs w:val="24"/>
              </w:rPr>
              <w:t xml:space="preserve"> The patient population includes EVAR patients who meet inclusion criteria in the VQI.  </w:t>
            </w:r>
          </w:p>
          <w:p w14:paraId="5E33460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483CFF04" w14:textId="77777777" w:rsidTr="000A3772">
        <w:tc>
          <w:tcPr>
            <w:tcW w:w="14192" w:type="dxa"/>
            <w:gridSpan w:val="4"/>
          </w:tcPr>
          <w:p w14:paraId="27C9B0E4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7F93D831" w14:textId="51A563EB" w:rsidR="00744469" w:rsidRPr="00744469" w:rsidRDefault="000A4ED0" w:rsidP="007444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Data Abstractor and/or</w:t>
            </w:r>
            <w:r w:rsidR="0015204B">
              <w:rPr>
                <w:rFonts w:cstheme="minorHAnsi"/>
                <w:bCs/>
                <w:sz w:val="24"/>
                <w:szCs w:val="24"/>
              </w:rPr>
              <w:t xml:space="preserve"> Hospital Manager will enter AAA diameter as documented in the Medical Record as documented by Primary Surgeon.  </w:t>
            </w:r>
            <w:r w:rsidR="00FF147D">
              <w:rPr>
                <w:rFonts w:cstheme="minorHAnsi"/>
                <w:bCs/>
                <w:sz w:val="24"/>
                <w:szCs w:val="24"/>
              </w:rPr>
              <w:t xml:space="preserve">For 2017 and 2018, </w:t>
            </w:r>
            <w:r w:rsidR="0015204B">
              <w:rPr>
                <w:rFonts w:cstheme="minorHAnsi"/>
                <w:bCs/>
                <w:sz w:val="24"/>
                <w:szCs w:val="24"/>
              </w:rPr>
              <w:t>Any patients not meet</w:t>
            </w:r>
            <w:r w:rsidR="00744469">
              <w:rPr>
                <w:rFonts w:cstheme="minorHAnsi"/>
                <w:bCs/>
                <w:sz w:val="24"/>
                <w:szCs w:val="24"/>
              </w:rPr>
              <w:t xml:space="preserve">ing size criteria will be noted </w:t>
            </w:r>
            <w:r w:rsidR="00FF147D">
              <w:rPr>
                <w:rFonts w:cstheme="minorHAnsi"/>
                <w:bCs/>
                <w:sz w:val="24"/>
                <w:szCs w:val="24"/>
              </w:rPr>
              <w:t>by hashtag in the comment section for</w:t>
            </w:r>
            <w:r w:rsidR="00744469" w:rsidRPr="00744469">
              <w:rPr>
                <w:rFonts w:cstheme="minorHAnsi"/>
                <w:bCs/>
                <w:sz w:val="24"/>
                <w:szCs w:val="24"/>
              </w:rPr>
              <w:t xml:space="preserve"> any potential mitigating factors, for example aortoiliac occlusive disease, rapid growth, or aneurysm symptoms.</w:t>
            </w:r>
            <w:r w:rsidR="00016B4F">
              <w:rPr>
                <w:rFonts w:cstheme="minorHAnsi"/>
                <w:bCs/>
                <w:sz w:val="24"/>
                <w:szCs w:val="24"/>
              </w:rPr>
              <w:t xml:space="preserve"> See hashtag reference below *</w:t>
            </w:r>
          </w:p>
          <w:p w14:paraId="65D9C6EF" w14:textId="7C47A67F" w:rsidR="0015204B" w:rsidRDefault="00016B4F" w:rsidP="00152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If there is a discrepancy between radiology and surgeon interpretation of AAA size, then the performing physician’s AAA size is documented</w:t>
            </w:r>
            <w:r w:rsidR="0015204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6C098B7E" w14:textId="42B7E642" w:rsidR="00D14832" w:rsidRDefault="00D14832" w:rsidP="00152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Education providing case identification for patients not meeting size criteria. </w:t>
            </w:r>
          </w:p>
          <w:p w14:paraId="32E64DA2" w14:textId="77777777" w:rsidR="00ED7E22" w:rsidRPr="00037658" w:rsidRDefault="00ED7E22" w:rsidP="00016B4F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E347BDF" w14:textId="77777777" w:rsidTr="000A3772">
        <w:tc>
          <w:tcPr>
            <w:tcW w:w="14192" w:type="dxa"/>
            <w:gridSpan w:val="4"/>
            <w:tcBorders>
              <w:bottom w:val="nil"/>
            </w:tcBorders>
          </w:tcPr>
          <w:p w14:paraId="67101B03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14:paraId="5E1B154C" w14:textId="579DAAA1" w:rsidR="00ED7E22" w:rsidRDefault="00BB6FF6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Ongoing VQI Data, </w:t>
            </w:r>
            <w:r w:rsidR="00016B4F">
              <w:rPr>
                <w:rFonts w:cstheme="minorHAnsi"/>
                <w:bCs/>
                <w:sz w:val="24"/>
                <w:szCs w:val="24"/>
              </w:rPr>
              <w:t xml:space="preserve">retrospective review by Abstractor </w:t>
            </w:r>
            <w:r w:rsidR="000A4ED0">
              <w:rPr>
                <w:rFonts w:cstheme="minorHAnsi"/>
                <w:bCs/>
                <w:sz w:val="24"/>
                <w:szCs w:val="24"/>
              </w:rPr>
              <w:t>and/</w:t>
            </w:r>
            <w:r w:rsidR="00016B4F">
              <w:rPr>
                <w:rFonts w:cstheme="minorHAnsi"/>
                <w:bCs/>
                <w:sz w:val="24"/>
                <w:szCs w:val="24"/>
              </w:rPr>
              <w:t>or Hospital Data Manager</w:t>
            </w:r>
          </w:p>
          <w:p w14:paraId="6FE924C5" w14:textId="0ADDB9B1" w:rsidR="003D54CD" w:rsidRPr="003D54CD" w:rsidRDefault="003D54CD" w:rsidP="00016B4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1AC4238C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14:paraId="1E80FFD7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14:paraId="55E3AF2D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FE6AA9" w:rsidRPr="00037658" w14:paraId="40A84CA9" w14:textId="77777777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46F4C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14:paraId="667EB4B6" w14:textId="6B3A3E11" w:rsidR="00ED7E22" w:rsidRPr="009C41E2" w:rsidRDefault="00016B4F" w:rsidP="009C41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Once mitigating factors are accounted for, demonstrate i</w:t>
            </w:r>
            <w:r w:rsidR="009C41E2" w:rsidRPr="009C41E2">
              <w:rPr>
                <w:rFonts w:cstheme="minorHAnsi"/>
                <w:bCs/>
                <w:sz w:val="24"/>
                <w:szCs w:val="24"/>
              </w:rPr>
              <w:t>ncrease</w:t>
            </w: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="009C41E2" w:rsidRPr="009C41E2">
              <w:rPr>
                <w:rFonts w:cstheme="minorHAnsi"/>
                <w:bCs/>
                <w:sz w:val="24"/>
                <w:szCs w:val="24"/>
              </w:rPr>
              <w:t xml:space="preserve"> % of patients meeting SVS guidelines </w:t>
            </w:r>
            <w:r w:rsidR="009C41E2">
              <w:rPr>
                <w:rFonts w:cstheme="minorHAnsi"/>
                <w:bCs/>
                <w:sz w:val="24"/>
                <w:szCs w:val="24"/>
              </w:rPr>
              <w:t xml:space="preserve">for </w:t>
            </w:r>
            <w:r>
              <w:rPr>
                <w:rFonts w:cstheme="minorHAnsi"/>
                <w:bCs/>
                <w:sz w:val="24"/>
                <w:szCs w:val="24"/>
              </w:rPr>
              <w:t xml:space="preserve">elective AAA EVAR. </w:t>
            </w:r>
            <w:r w:rsidR="009C41E2" w:rsidRPr="009C41E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5E79EEF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8F11E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14:paraId="54D6F1E0" w14:textId="2EE7BD8F" w:rsidR="00ED7E22" w:rsidRPr="00037658" w:rsidRDefault="009C41E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Demonstrate improvement in </w:t>
            </w:r>
            <w:r w:rsidR="00FE6AA9">
              <w:rPr>
                <w:rFonts w:cstheme="minorHAnsi"/>
                <w:bCs/>
                <w:sz w:val="24"/>
                <w:szCs w:val="24"/>
              </w:rPr>
              <w:t xml:space="preserve">patients meeting SVS guidelines 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FE6AA9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evidenced by </w:t>
            </w:r>
            <w:r w:rsidR="00016B4F">
              <w:rPr>
                <w:rFonts w:cstheme="minorHAnsi"/>
                <w:bCs/>
                <w:sz w:val="24"/>
                <w:szCs w:val="24"/>
              </w:rPr>
              <w:t xml:space="preserve">Hashtag reports. </w:t>
            </w:r>
          </w:p>
          <w:p w14:paraId="550A0061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BBD798D" w14:textId="77777777"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EED2124" w14:textId="77777777"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A1D32ED" w14:textId="77777777"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  <w:p w14:paraId="2D378790" w14:textId="77777777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46587482" w14:textId="77777777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4A7A66DC" w14:textId="77777777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54C8D246" w14:textId="77777777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737A4CB" w14:textId="77777777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CB9BFA8" w14:textId="2B794B5B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2CFA8DEA" w14:textId="77777777" w:rsidR="00FE6AA9" w:rsidRDefault="00FE6AA9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11494560" w14:textId="77777777" w:rsidR="00667EA2" w:rsidRDefault="00667EA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42F7367D" w14:textId="77777777" w:rsidR="00667EA2" w:rsidRDefault="00667EA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20F21F3F" w14:textId="26D0D840" w:rsidR="00667EA2" w:rsidRPr="00037658" w:rsidRDefault="00667EA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57275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Date  (mm/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14:paraId="001A95B7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6EE4681" w14:textId="77777777"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E137F1B" w14:textId="77777777"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D001883" w14:textId="77777777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7B9469C" w14:textId="77777777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9D6B386" w14:textId="77777777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CB20840" w14:textId="2494F0DD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4F360A8" w14:textId="77777777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67CFEBF7" w14:textId="77777777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E9C41E4" w14:textId="77777777" w:rsidR="00FE6AA9" w:rsidRDefault="00FE6AA9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4CCD231" w14:textId="1B3F82F5" w:rsidR="00667EA2" w:rsidRPr="00037658" w:rsidRDefault="00667EA2" w:rsidP="00667EA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E6AA9" w:rsidRPr="00037658" w14:paraId="18CEC1DB" w14:textId="77777777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356AB" w14:textId="77777777"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Process Metrics:</w:t>
            </w:r>
          </w:p>
          <w:p w14:paraId="1E30BF3B" w14:textId="4837ED3C" w:rsidR="009C41E2" w:rsidRDefault="009C41E2" w:rsidP="00B4495C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4F24FD7E" w14:textId="77777777" w:rsidR="00FE6AA9" w:rsidRDefault="00FE6AA9" w:rsidP="009C41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AAA measurements are reviewed/compared by hospital manager. </w:t>
            </w:r>
          </w:p>
          <w:p w14:paraId="591DBA6A" w14:textId="43E7B78C" w:rsidR="00FE6AA9" w:rsidRDefault="00B4495C" w:rsidP="009C41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EVAR patient below SVS threshold for repair -Hospital chart reviewed for mitigating factors.</w:t>
            </w:r>
          </w:p>
          <w:p w14:paraId="64856712" w14:textId="6AB1149C" w:rsidR="00FE6AA9" w:rsidRDefault="00B4495C" w:rsidP="009C41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 VQI Pathways comments section, appropriate Hashtag code will be entered if applicable (see reference below)</w:t>
            </w:r>
            <w:r w:rsidR="00744469" w:rsidRPr="0074446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58245AD" w14:textId="77777777" w:rsidR="00FE6AA9" w:rsidRPr="009C41E2" w:rsidRDefault="00FE6AA9" w:rsidP="00FE6AA9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71B7AE53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A7940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14:paraId="6DE58290" w14:textId="77777777"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14:paraId="5AB1FEBC" w14:textId="77777777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14:paraId="4EEFA5A1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14:paraId="57F198C2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45B0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  <w:r w:rsidR="00667EA2">
              <w:rPr>
                <w:rFonts w:cstheme="minorHAnsi"/>
                <w:bCs/>
                <w:szCs w:val="24"/>
              </w:rPr>
              <w:t>Department Chairman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C7783" w14:textId="4B424FF5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  <w:r w:rsidR="008F5CD1">
              <w:rPr>
                <w:rFonts w:cstheme="minorHAnsi"/>
                <w:bCs/>
                <w:szCs w:val="24"/>
              </w:rPr>
              <w:t>, MD</w:t>
            </w:r>
          </w:p>
        </w:tc>
      </w:tr>
      <w:tr w:rsidR="00ED7E22" w:rsidRPr="00037658" w14:paraId="4F09AB74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E1ED8" w14:textId="14A33D06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  <w:r w:rsidR="00667EA2">
              <w:rPr>
                <w:rFonts w:cstheme="minorHAnsi"/>
                <w:bCs/>
                <w:szCs w:val="24"/>
              </w:rPr>
              <w:t>, MD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2328B" w14:textId="77777777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14:paraId="31B3FBD3" w14:textId="7777777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35A61" w14:textId="5568C4C1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21E4" w14:textId="2F50F515"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14:paraId="60D098E1" w14:textId="77777777" w:rsidR="00B01E50" w:rsidRDefault="008B5B5E"/>
    <w:tbl>
      <w:tblPr>
        <w:tblStyle w:val="TableGrid"/>
        <w:tblpPr w:leftFromText="180" w:rightFromText="180" w:vertAnchor="text" w:horzAnchor="page" w:tblpX="2521" w:tblpY="201"/>
        <w:tblW w:w="0" w:type="auto"/>
        <w:tblLook w:val="04A0" w:firstRow="1" w:lastRow="0" w:firstColumn="1" w:lastColumn="0" w:noHBand="0" w:noVBand="1"/>
      </w:tblPr>
      <w:tblGrid>
        <w:gridCol w:w="3580"/>
        <w:gridCol w:w="2593"/>
      </w:tblGrid>
      <w:tr w:rsidR="00AD44E3" w:rsidRPr="00AD44E3" w14:paraId="59A4921F" w14:textId="77777777" w:rsidTr="00AD44E3">
        <w:trPr>
          <w:trHeight w:val="288"/>
        </w:trPr>
        <w:tc>
          <w:tcPr>
            <w:tcW w:w="3580" w:type="dxa"/>
            <w:hideMark/>
          </w:tcPr>
          <w:p w14:paraId="42C3BB5C" w14:textId="16D730BC" w:rsidR="00AD44E3" w:rsidRPr="00AD44E3" w:rsidRDefault="000D0504" w:rsidP="00AD44E3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AD44E3" w:rsidRPr="00AD44E3">
              <w:rPr>
                <w:b/>
                <w:bCs/>
              </w:rPr>
              <w:t>ashtag</w:t>
            </w:r>
            <w:r>
              <w:rPr>
                <w:b/>
                <w:bCs/>
              </w:rPr>
              <w:t>s</w:t>
            </w:r>
          </w:p>
        </w:tc>
        <w:tc>
          <w:tcPr>
            <w:tcW w:w="2593" w:type="dxa"/>
            <w:hideMark/>
          </w:tcPr>
          <w:p w14:paraId="69F791E3" w14:textId="77777777" w:rsidR="00AD44E3" w:rsidRPr="00AD44E3" w:rsidRDefault="00AD44E3" w:rsidP="00AD44E3">
            <w:pPr>
              <w:rPr>
                <w:b/>
                <w:bCs/>
              </w:rPr>
            </w:pPr>
            <w:r w:rsidRPr="00AD44E3">
              <w:rPr>
                <w:b/>
                <w:bCs/>
              </w:rPr>
              <w:t> </w:t>
            </w:r>
          </w:p>
        </w:tc>
      </w:tr>
      <w:tr w:rsidR="00AD44E3" w:rsidRPr="00AD44E3" w14:paraId="48A36693" w14:textId="77777777" w:rsidTr="00AD44E3">
        <w:trPr>
          <w:trHeight w:val="312"/>
        </w:trPr>
        <w:tc>
          <w:tcPr>
            <w:tcW w:w="3580" w:type="dxa"/>
            <w:hideMark/>
          </w:tcPr>
          <w:p w14:paraId="1986953E" w14:textId="77777777" w:rsidR="00AD44E3" w:rsidRPr="00AD44E3" w:rsidRDefault="00AD44E3" w:rsidP="00AD44E3">
            <w:r w:rsidRPr="00AD44E3">
              <w:t>Aneurysm w/ thrombosis</w:t>
            </w:r>
          </w:p>
        </w:tc>
        <w:tc>
          <w:tcPr>
            <w:tcW w:w="2593" w:type="dxa"/>
            <w:noWrap/>
            <w:hideMark/>
          </w:tcPr>
          <w:p w14:paraId="5B18272A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ac_thromb</w:t>
            </w:r>
            <w:proofErr w:type="spellEnd"/>
            <w:r w:rsidRPr="00AD44E3">
              <w:t>]</w:t>
            </w:r>
          </w:p>
        </w:tc>
      </w:tr>
      <w:tr w:rsidR="00AD44E3" w:rsidRPr="00AD44E3" w14:paraId="65FA50EB" w14:textId="77777777" w:rsidTr="00AD44E3">
        <w:trPr>
          <w:trHeight w:val="624"/>
        </w:trPr>
        <w:tc>
          <w:tcPr>
            <w:tcW w:w="3580" w:type="dxa"/>
            <w:hideMark/>
          </w:tcPr>
          <w:p w14:paraId="3FA2F9F5" w14:textId="77777777" w:rsidR="00AD44E3" w:rsidRPr="00AD44E3" w:rsidRDefault="00AD44E3" w:rsidP="00AD44E3">
            <w:r w:rsidRPr="00AD44E3">
              <w:t>Concomitant treatment of atherosclerotic aortoiliac disease</w:t>
            </w:r>
          </w:p>
        </w:tc>
        <w:tc>
          <w:tcPr>
            <w:tcW w:w="2593" w:type="dxa"/>
            <w:hideMark/>
          </w:tcPr>
          <w:p w14:paraId="6A5BFCB3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concom_aortoil_occ</w:t>
            </w:r>
            <w:proofErr w:type="spellEnd"/>
            <w:r w:rsidRPr="00AD44E3">
              <w:t>]</w:t>
            </w:r>
            <w:r w:rsidRPr="00AD44E3">
              <w:br/>
              <w:t>#[</w:t>
            </w:r>
            <w:proofErr w:type="spellStart"/>
            <w:r w:rsidRPr="00AD44E3">
              <w:t>concom_aortoil_dissect</w:t>
            </w:r>
            <w:proofErr w:type="spellEnd"/>
            <w:r w:rsidRPr="00AD44E3">
              <w:t>]</w:t>
            </w:r>
          </w:p>
        </w:tc>
      </w:tr>
      <w:tr w:rsidR="00AD44E3" w:rsidRPr="00AD44E3" w14:paraId="3A285906" w14:textId="77777777" w:rsidTr="00AD44E3">
        <w:trPr>
          <w:trHeight w:val="936"/>
        </w:trPr>
        <w:tc>
          <w:tcPr>
            <w:tcW w:w="3580" w:type="dxa"/>
            <w:hideMark/>
          </w:tcPr>
          <w:p w14:paraId="4EFF24CE" w14:textId="77777777" w:rsidR="00AD44E3" w:rsidRPr="00AD44E3" w:rsidRDefault="00AD44E3" w:rsidP="00AD44E3">
            <w:r w:rsidRPr="00AD44E3">
              <w:t>Concomitant/isolated iliac aneurysm (with hashtags for size criteria/indication here too)</w:t>
            </w:r>
          </w:p>
        </w:tc>
        <w:tc>
          <w:tcPr>
            <w:tcW w:w="2593" w:type="dxa"/>
            <w:noWrap/>
            <w:hideMark/>
          </w:tcPr>
          <w:p w14:paraId="2D33E015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concom_iliac_aneur</w:t>
            </w:r>
            <w:proofErr w:type="spellEnd"/>
            <w:r w:rsidRPr="00AD44E3">
              <w:t>]</w:t>
            </w:r>
          </w:p>
        </w:tc>
      </w:tr>
      <w:tr w:rsidR="00AD44E3" w:rsidRPr="00AD44E3" w14:paraId="37D1E782" w14:textId="77777777" w:rsidTr="00AD44E3">
        <w:trPr>
          <w:trHeight w:val="312"/>
        </w:trPr>
        <w:tc>
          <w:tcPr>
            <w:tcW w:w="3580" w:type="dxa"/>
            <w:hideMark/>
          </w:tcPr>
          <w:p w14:paraId="38EC1B63" w14:textId="77777777" w:rsidR="00AD44E3" w:rsidRPr="00AD44E3" w:rsidRDefault="00AD44E3" w:rsidP="00AD44E3">
            <w:r w:rsidRPr="00AD44E3">
              <w:t>Distal embolization</w:t>
            </w:r>
          </w:p>
        </w:tc>
        <w:tc>
          <w:tcPr>
            <w:tcW w:w="2593" w:type="dxa"/>
            <w:noWrap/>
            <w:hideMark/>
          </w:tcPr>
          <w:p w14:paraId="54E3877F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distal_emb</w:t>
            </w:r>
            <w:proofErr w:type="spellEnd"/>
            <w:r w:rsidRPr="00AD44E3">
              <w:t>]</w:t>
            </w:r>
          </w:p>
        </w:tc>
      </w:tr>
      <w:tr w:rsidR="00AD44E3" w:rsidRPr="00AD44E3" w14:paraId="07B54DAF" w14:textId="77777777" w:rsidTr="00AD44E3">
        <w:trPr>
          <w:trHeight w:val="288"/>
        </w:trPr>
        <w:tc>
          <w:tcPr>
            <w:tcW w:w="3580" w:type="dxa"/>
            <w:hideMark/>
          </w:tcPr>
          <w:p w14:paraId="0AAB2DF0" w14:textId="77777777" w:rsidR="00AD44E3" w:rsidRPr="00AD44E3" w:rsidRDefault="00AD44E3" w:rsidP="00AD44E3">
            <w:r w:rsidRPr="00AD44E3">
              <w:t>Need for chemotherapy</w:t>
            </w:r>
          </w:p>
        </w:tc>
        <w:tc>
          <w:tcPr>
            <w:tcW w:w="2593" w:type="dxa"/>
            <w:noWrap/>
            <w:hideMark/>
          </w:tcPr>
          <w:p w14:paraId="640DFD25" w14:textId="77777777" w:rsidR="00AD44E3" w:rsidRPr="00AD44E3" w:rsidRDefault="00AD44E3" w:rsidP="00AD44E3">
            <w:r w:rsidRPr="00AD44E3">
              <w:t>#[chemo]</w:t>
            </w:r>
          </w:p>
        </w:tc>
      </w:tr>
      <w:tr w:rsidR="00AD44E3" w:rsidRPr="00AD44E3" w14:paraId="6CD58162" w14:textId="77777777" w:rsidTr="00AD44E3">
        <w:trPr>
          <w:trHeight w:val="312"/>
        </w:trPr>
        <w:tc>
          <w:tcPr>
            <w:tcW w:w="3580" w:type="dxa"/>
            <w:hideMark/>
          </w:tcPr>
          <w:p w14:paraId="5171F2DD" w14:textId="77777777" w:rsidR="00AD44E3" w:rsidRPr="00AD44E3" w:rsidRDefault="00AD44E3" w:rsidP="00AD44E3">
            <w:r w:rsidRPr="00AD44E3">
              <w:t>Need for transplantation</w:t>
            </w:r>
          </w:p>
        </w:tc>
        <w:tc>
          <w:tcPr>
            <w:tcW w:w="2593" w:type="dxa"/>
            <w:noWrap/>
            <w:hideMark/>
          </w:tcPr>
          <w:p w14:paraId="1B7EDC48" w14:textId="77777777" w:rsidR="00AD44E3" w:rsidRPr="00AD44E3" w:rsidRDefault="00AD44E3" w:rsidP="00AD44E3">
            <w:r w:rsidRPr="00AD44E3">
              <w:t>#[transplant]</w:t>
            </w:r>
          </w:p>
        </w:tc>
      </w:tr>
      <w:tr w:rsidR="00AD44E3" w:rsidRPr="00AD44E3" w14:paraId="6EE70BE9" w14:textId="77777777" w:rsidTr="00AD44E3">
        <w:trPr>
          <w:trHeight w:val="312"/>
        </w:trPr>
        <w:tc>
          <w:tcPr>
            <w:tcW w:w="3580" w:type="dxa"/>
            <w:hideMark/>
          </w:tcPr>
          <w:p w14:paraId="55D17487" w14:textId="77777777" w:rsidR="00AD44E3" w:rsidRPr="00AD44E3" w:rsidRDefault="00AD44E3" w:rsidP="00AD44E3">
            <w:r w:rsidRPr="00AD44E3">
              <w:t>Patient request/anxiety</w:t>
            </w:r>
          </w:p>
        </w:tc>
        <w:tc>
          <w:tcPr>
            <w:tcW w:w="2593" w:type="dxa"/>
            <w:noWrap/>
            <w:hideMark/>
          </w:tcPr>
          <w:p w14:paraId="5F70367C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request_anxiety</w:t>
            </w:r>
            <w:proofErr w:type="spellEnd"/>
            <w:r w:rsidRPr="00AD44E3">
              <w:t>]</w:t>
            </w:r>
          </w:p>
        </w:tc>
      </w:tr>
      <w:tr w:rsidR="00AD44E3" w:rsidRPr="00AD44E3" w14:paraId="1AFDA145" w14:textId="77777777" w:rsidTr="00AD44E3">
        <w:trPr>
          <w:trHeight w:val="312"/>
        </w:trPr>
        <w:tc>
          <w:tcPr>
            <w:tcW w:w="3580" w:type="dxa"/>
            <w:hideMark/>
          </w:tcPr>
          <w:p w14:paraId="30C0D3D2" w14:textId="77777777" w:rsidR="00AD44E3" w:rsidRPr="00AD44E3" w:rsidRDefault="00AD44E3" w:rsidP="00AD44E3">
            <w:r w:rsidRPr="00AD44E3">
              <w:t>PAU (Penetrating Aortic Ulcer)</w:t>
            </w:r>
          </w:p>
        </w:tc>
        <w:tc>
          <w:tcPr>
            <w:tcW w:w="2593" w:type="dxa"/>
            <w:noWrap/>
            <w:hideMark/>
          </w:tcPr>
          <w:p w14:paraId="708AE199" w14:textId="77777777" w:rsidR="00AD44E3" w:rsidRPr="00AD44E3" w:rsidRDefault="00AD44E3" w:rsidP="00AD44E3">
            <w:r w:rsidRPr="00AD44E3">
              <w:t>#[PAU]</w:t>
            </w:r>
          </w:p>
        </w:tc>
      </w:tr>
      <w:tr w:rsidR="00AD44E3" w:rsidRPr="00AD44E3" w14:paraId="175DCFC7" w14:textId="77777777" w:rsidTr="00AD44E3">
        <w:trPr>
          <w:trHeight w:val="624"/>
        </w:trPr>
        <w:tc>
          <w:tcPr>
            <w:tcW w:w="3580" w:type="dxa"/>
            <w:hideMark/>
          </w:tcPr>
          <w:p w14:paraId="0F20A31E" w14:textId="77777777" w:rsidR="00AD44E3" w:rsidRPr="00AD44E3" w:rsidRDefault="00AD44E3" w:rsidP="00AD44E3">
            <w:r w:rsidRPr="00AD44E3">
              <w:t>Rapid expansion (&gt;0.5-1.0 cm/year)</w:t>
            </w:r>
          </w:p>
        </w:tc>
        <w:tc>
          <w:tcPr>
            <w:tcW w:w="2593" w:type="dxa"/>
            <w:noWrap/>
            <w:hideMark/>
          </w:tcPr>
          <w:p w14:paraId="721E8193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rapid_expan</w:t>
            </w:r>
            <w:proofErr w:type="spellEnd"/>
            <w:r w:rsidRPr="00AD44E3">
              <w:t>]</w:t>
            </w:r>
          </w:p>
        </w:tc>
      </w:tr>
      <w:tr w:rsidR="00AD44E3" w:rsidRPr="00AD44E3" w14:paraId="2EC41C27" w14:textId="77777777" w:rsidTr="00AD44E3">
        <w:trPr>
          <w:trHeight w:val="312"/>
        </w:trPr>
        <w:tc>
          <w:tcPr>
            <w:tcW w:w="3580" w:type="dxa"/>
            <w:hideMark/>
          </w:tcPr>
          <w:p w14:paraId="04F8C403" w14:textId="77777777" w:rsidR="00AD44E3" w:rsidRPr="00AD44E3" w:rsidRDefault="00AD44E3" w:rsidP="00AD44E3">
            <w:r w:rsidRPr="00AD44E3">
              <w:t>Saccular</w:t>
            </w:r>
          </w:p>
        </w:tc>
        <w:tc>
          <w:tcPr>
            <w:tcW w:w="2593" w:type="dxa"/>
            <w:noWrap/>
            <w:hideMark/>
          </w:tcPr>
          <w:p w14:paraId="56845BD7" w14:textId="77777777" w:rsidR="00AD44E3" w:rsidRPr="00AD44E3" w:rsidRDefault="00AD44E3" w:rsidP="00AD44E3">
            <w:r w:rsidRPr="00AD44E3">
              <w:t>#[</w:t>
            </w:r>
            <w:proofErr w:type="spellStart"/>
            <w:r w:rsidRPr="00AD44E3">
              <w:t>Saccu</w:t>
            </w:r>
            <w:proofErr w:type="spellEnd"/>
            <w:r w:rsidRPr="00AD44E3">
              <w:t>]</w:t>
            </w:r>
          </w:p>
        </w:tc>
      </w:tr>
      <w:tr w:rsidR="0065432B" w:rsidRPr="00AD44E3" w14:paraId="2620E35A" w14:textId="77777777" w:rsidTr="0065432B">
        <w:trPr>
          <w:trHeight w:val="312"/>
        </w:trPr>
        <w:tc>
          <w:tcPr>
            <w:tcW w:w="3580" w:type="dxa"/>
          </w:tcPr>
          <w:p w14:paraId="3478BDDD" w14:textId="732B017E" w:rsidR="0065432B" w:rsidRPr="00AD44E3" w:rsidRDefault="0065432B" w:rsidP="00AD44E3">
            <w:r>
              <w:t>Symptomatic but Scheduled as Elective</w:t>
            </w:r>
          </w:p>
        </w:tc>
        <w:tc>
          <w:tcPr>
            <w:tcW w:w="2593" w:type="dxa"/>
            <w:noWrap/>
          </w:tcPr>
          <w:p w14:paraId="17189BE2" w14:textId="4CBF89C2" w:rsidR="0065432B" w:rsidRPr="00AD44E3" w:rsidRDefault="0065432B" w:rsidP="00AD44E3">
            <w:r>
              <w:t>#[</w:t>
            </w:r>
            <w:proofErr w:type="spellStart"/>
            <w:r>
              <w:t>sympt_elect</w:t>
            </w:r>
            <w:proofErr w:type="spellEnd"/>
            <w:r>
              <w:t>]</w:t>
            </w:r>
          </w:p>
        </w:tc>
      </w:tr>
      <w:tr w:rsidR="0065432B" w:rsidRPr="00AD44E3" w14:paraId="457A9706" w14:textId="77777777" w:rsidTr="00AD44E3">
        <w:trPr>
          <w:trHeight w:val="312"/>
        </w:trPr>
        <w:tc>
          <w:tcPr>
            <w:tcW w:w="3580" w:type="dxa"/>
          </w:tcPr>
          <w:p w14:paraId="43DC97B8" w14:textId="1BC7D8EA" w:rsidR="0065432B" w:rsidRPr="00AD44E3" w:rsidRDefault="0065432B" w:rsidP="00AD44E3">
            <w:r w:rsidRPr="0065432B">
              <w:t xml:space="preserve">Other reasons </w:t>
            </w:r>
          </w:p>
        </w:tc>
        <w:tc>
          <w:tcPr>
            <w:tcW w:w="2593" w:type="dxa"/>
            <w:noWrap/>
          </w:tcPr>
          <w:p w14:paraId="00B5473D" w14:textId="16056987" w:rsidR="0065432B" w:rsidRPr="00AD44E3" w:rsidRDefault="0065432B" w:rsidP="00AD44E3">
            <w:r w:rsidRPr="0065432B">
              <w:t>#EVAR_AAA[free-text]</w:t>
            </w:r>
          </w:p>
        </w:tc>
      </w:tr>
    </w:tbl>
    <w:p w14:paraId="3D85D7AA" w14:textId="77777777" w:rsidR="00ED7E22" w:rsidRDefault="00ED7E22"/>
    <w:p w14:paraId="52AF6C20" w14:textId="77777777" w:rsidR="00ED7E22" w:rsidRDefault="00ED7E22"/>
    <w:p w14:paraId="2ED3D986" w14:textId="77777777" w:rsidR="00ED7E22" w:rsidRDefault="00ED7E22"/>
    <w:p w14:paraId="104CB19D" w14:textId="77777777" w:rsidR="00ED7E22" w:rsidRDefault="00ED7E22"/>
    <w:p w14:paraId="694695E5" w14:textId="77777777" w:rsidR="00ED7E22" w:rsidRDefault="00ED7E22"/>
    <w:p w14:paraId="53F1656E" w14:textId="77777777" w:rsidR="00ED7E22" w:rsidRDefault="00ED7E22"/>
    <w:p w14:paraId="6ECD14BC" w14:textId="77777777" w:rsidR="00ED7E22" w:rsidRDefault="00ED7E22"/>
    <w:p w14:paraId="4CA16017" w14:textId="77777777" w:rsidR="00ED7E22" w:rsidRDefault="00ED7E22"/>
    <w:p w14:paraId="65F02C7E" w14:textId="77777777" w:rsidR="00ED7E22" w:rsidRDefault="00ED7E22"/>
    <w:p w14:paraId="49E7CB51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5C6FD1B1" w14:textId="77777777" w:rsidR="00ED7E22" w:rsidRDefault="00ED7E22"/>
    <w:p w14:paraId="48CC6963" w14:textId="77777777" w:rsidR="00ED7E22" w:rsidRDefault="00ED7E22"/>
    <w:p w14:paraId="64F3DEFE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7ABEA2EB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7E7CF9BE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1B85EF47" w14:textId="77777777" w:rsidR="00ED7E22" w:rsidRDefault="00ED7E22" w:rsidP="00ED7E22">
      <w:pPr>
        <w:spacing w:line="240" w:lineRule="auto"/>
        <w:rPr>
          <w:b/>
          <w:sz w:val="28"/>
        </w:rPr>
      </w:pPr>
    </w:p>
    <w:p w14:paraId="7C393701" w14:textId="77777777"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7A17" w14:textId="77777777" w:rsidR="008B5B5E" w:rsidRDefault="008B5B5E" w:rsidP="000C55BF">
      <w:pPr>
        <w:spacing w:line="240" w:lineRule="auto"/>
      </w:pPr>
      <w:r>
        <w:separator/>
      </w:r>
    </w:p>
  </w:endnote>
  <w:endnote w:type="continuationSeparator" w:id="0">
    <w:p w14:paraId="770AB9F9" w14:textId="77777777" w:rsidR="008B5B5E" w:rsidRDefault="008B5B5E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DDAB" w14:textId="20800674" w:rsidR="00FF0A74" w:rsidRDefault="00FF0A74" w:rsidP="00FF0A74">
    <w:pPr>
      <w:pStyle w:val="Footer"/>
      <w:ind w:left="3960" w:firstLine="4680"/>
    </w:pPr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4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A1696E7" w14:textId="77777777" w:rsidR="000C55BF" w:rsidRDefault="000C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F181" w14:textId="77777777" w:rsidR="008B5B5E" w:rsidRDefault="008B5B5E" w:rsidP="000C55BF">
      <w:pPr>
        <w:spacing w:line="240" w:lineRule="auto"/>
      </w:pPr>
      <w:r>
        <w:separator/>
      </w:r>
    </w:p>
  </w:footnote>
  <w:footnote w:type="continuationSeparator" w:id="0">
    <w:p w14:paraId="26F9CACE" w14:textId="77777777" w:rsidR="008B5B5E" w:rsidRDefault="008B5B5E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0EF6" w14:textId="77777777"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669032E" wp14:editId="75ABC690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922"/>
    <w:multiLevelType w:val="hybridMultilevel"/>
    <w:tmpl w:val="AADC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2236"/>
    <w:multiLevelType w:val="hybridMultilevel"/>
    <w:tmpl w:val="5060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692"/>
    <w:multiLevelType w:val="hybridMultilevel"/>
    <w:tmpl w:val="17CE9DB2"/>
    <w:lvl w:ilvl="0" w:tplc="FAF0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68C"/>
    <w:multiLevelType w:val="hybridMultilevel"/>
    <w:tmpl w:val="13AA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586324"/>
    <w:multiLevelType w:val="hybridMultilevel"/>
    <w:tmpl w:val="CC00D1A4"/>
    <w:lvl w:ilvl="0" w:tplc="7870E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4204"/>
    <w:multiLevelType w:val="hybridMultilevel"/>
    <w:tmpl w:val="209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22"/>
    <w:rsid w:val="00016B4F"/>
    <w:rsid w:val="000A4ED0"/>
    <w:rsid w:val="000C55BF"/>
    <w:rsid w:val="000D0504"/>
    <w:rsid w:val="000F5B5C"/>
    <w:rsid w:val="001162D9"/>
    <w:rsid w:val="0015204B"/>
    <w:rsid w:val="0018789F"/>
    <w:rsid w:val="00193764"/>
    <w:rsid w:val="0021458B"/>
    <w:rsid w:val="00284465"/>
    <w:rsid w:val="0028647B"/>
    <w:rsid w:val="003564B1"/>
    <w:rsid w:val="00380386"/>
    <w:rsid w:val="00397FED"/>
    <w:rsid w:val="003D54CD"/>
    <w:rsid w:val="0043268A"/>
    <w:rsid w:val="0045465E"/>
    <w:rsid w:val="00477440"/>
    <w:rsid w:val="00481BB8"/>
    <w:rsid w:val="004946A5"/>
    <w:rsid w:val="005279B7"/>
    <w:rsid w:val="00533E49"/>
    <w:rsid w:val="0057089D"/>
    <w:rsid w:val="005A1348"/>
    <w:rsid w:val="005E7293"/>
    <w:rsid w:val="006355DA"/>
    <w:rsid w:val="0065432B"/>
    <w:rsid w:val="00667EA2"/>
    <w:rsid w:val="006D1F69"/>
    <w:rsid w:val="00744469"/>
    <w:rsid w:val="00790304"/>
    <w:rsid w:val="00807995"/>
    <w:rsid w:val="0081738B"/>
    <w:rsid w:val="008253B9"/>
    <w:rsid w:val="008615F6"/>
    <w:rsid w:val="00886A4C"/>
    <w:rsid w:val="008A4E1F"/>
    <w:rsid w:val="008B5B5E"/>
    <w:rsid w:val="008D7651"/>
    <w:rsid w:val="008F5CD1"/>
    <w:rsid w:val="009165F5"/>
    <w:rsid w:val="00952C5C"/>
    <w:rsid w:val="009C2F1C"/>
    <w:rsid w:val="009C41E2"/>
    <w:rsid w:val="00A11CE9"/>
    <w:rsid w:val="00AD44E3"/>
    <w:rsid w:val="00B4495C"/>
    <w:rsid w:val="00B7797F"/>
    <w:rsid w:val="00B92641"/>
    <w:rsid w:val="00BB6FF6"/>
    <w:rsid w:val="00CA1F03"/>
    <w:rsid w:val="00D14832"/>
    <w:rsid w:val="00D70366"/>
    <w:rsid w:val="00ED7E22"/>
    <w:rsid w:val="00F62210"/>
    <w:rsid w:val="00FB3BD2"/>
    <w:rsid w:val="00FE6AA9"/>
    <w:rsid w:val="00FF0A74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979A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0A716-5066-4CCE-B410-2C556185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E9DEF-939E-4C46-80C2-D13CE5B0E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32304-95F6-4B08-AA9F-ACC62D05F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Cheryl Jackson</cp:lastModifiedBy>
  <cp:revision>3</cp:revision>
  <dcterms:created xsi:type="dcterms:W3CDTF">2020-10-26T12:10:00Z</dcterms:created>
  <dcterms:modified xsi:type="dcterms:W3CDTF">2020-11-23T17:20:00Z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