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012C">
      <w:pPr>
        <w:pStyle w:val="Default"/>
      </w:pPr>
    </w:p>
    <w:p w:rsidR="00000000" w:rsidRDefault="00A1012C">
      <w:pPr>
        <w:pStyle w:val="CM3"/>
        <w:spacing w:after="292"/>
        <w:rPr>
          <w:rFonts w:cs="Calibri"/>
          <w:color w:val="000000"/>
          <w:sz w:val="23"/>
          <w:szCs w:val="23"/>
        </w:rPr>
      </w:pPr>
      <w:r>
        <w:t>(DATE)</w:t>
      </w:r>
    </w:p>
    <w:p w:rsidR="00000000" w:rsidRDefault="00A1012C">
      <w:pPr>
        <w:pStyle w:val="CM3"/>
        <w:spacing w:after="292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Dear Dr.____________________, </w:t>
      </w:r>
    </w:p>
    <w:p w:rsidR="00000000" w:rsidRDefault="00A1012C">
      <w:pPr>
        <w:pStyle w:val="CM4"/>
        <w:spacing w:after="245" w:line="293" w:lineRule="atLeast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23"/>
          <w:szCs w:val="23"/>
        </w:rPr>
        <w:t>We had the pleasure of participating in the care of ______________________________ while _______________________ was hospitalized recently at ____________________ hospital. In our medication review we noticed he/she is not on a beta blocker.  A growing bod</w:t>
      </w:r>
      <w:r>
        <w:rPr>
          <w:rFonts w:cs="Calibri"/>
          <w:color w:val="000000"/>
          <w:sz w:val="23"/>
          <w:szCs w:val="23"/>
        </w:rPr>
        <w:t>y of literature, as summarized in a meta-analysis of 82 trials including over 54,000 patients</w:t>
      </w:r>
      <w:r>
        <w:rPr>
          <w:rFonts w:cs="Calibri"/>
          <w:color w:val="000000"/>
          <w:position w:val="11"/>
          <w:sz w:val="16"/>
          <w:szCs w:val="16"/>
          <w:vertAlign w:val="superscript"/>
        </w:rPr>
        <w:t>1</w:t>
      </w:r>
      <w:r>
        <w:rPr>
          <w:rFonts w:cs="Calibri"/>
          <w:color w:val="000000"/>
          <w:sz w:val="23"/>
          <w:szCs w:val="23"/>
        </w:rPr>
        <w:t>, has demonstrated that beta blockers are beneficial in reducing morbidity and mortality in patients with coronary artery disease. This benefit has been shown ext</w:t>
      </w:r>
      <w:r>
        <w:rPr>
          <w:rFonts w:cs="Calibri"/>
          <w:color w:val="000000"/>
          <w:sz w:val="23"/>
          <w:szCs w:val="23"/>
        </w:rPr>
        <w:t>end to patients with “coronary risk equivalents” such as carotid artery disease, lower extremity disease (PAD) and abdominal aortic aneurysms.</w:t>
      </w:r>
      <w:r>
        <w:rPr>
          <w:rFonts w:cs="Calibri"/>
          <w:color w:val="000000"/>
          <w:position w:val="11"/>
          <w:sz w:val="16"/>
          <w:szCs w:val="16"/>
          <w:vertAlign w:val="superscript"/>
        </w:rPr>
        <w:t xml:space="preserve">2 </w:t>
      </w:r>
    </w:p>
    <w:p w:rsidR="00000000" w:rsidRDefault="00A1012C">
      <w:pPr>
        <w:pStyle w:val="CM4"/>
        <w:spacing w:after="245" w:line="293" w:lineRule="atLeast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Accordingly, during the hospitalization, we started our shared patient on metoprolol 25 mg daily. Side effects </w:t>
      </w:r>
      <w:r>
        <w:rPr>
          <w:rFonts w:cs="Calibri"/>
          <w:color w:val="000000"/>
          <w:sz w:val="23"/>
          <w:szCs w:val="23"/>
        </w:rPr>
        <w:t xml:space="preserve">are rare as you know, but may include bradycardia and postural hypotension. This initiative to increase beta blocker use in patients with vascular disease is a component of the </w:t>
      </w:r>
      <w:r>
        <w:rPr>
          <w:rFonts w:cs="Calibri"/>
          <w:b/>
          <w:bCs/>
          <w:color w:val="000000"/>
          <w:sz w:val="23"/>
          <w:szCs w:val="23"/>
        </w:rPr>
        <w:t>So</w:t>
      </w:r>
      <w:r>
        <w:rPr>
          <w:rFonts w:cs="Calibri"/>
          <w:color w:val="000000"/>
          <w:sz w:val="23"/>
          <w:szCs w:val="23"/>
        </w:rPr>
        <w:t xml:space="preserve">uthern </w:t>
      </w:r>
      <w:r>
        <w:rPr>
          <w:rFonts w:cs="Calibri"/>
          <w:b/>
          <w:bCs/>
          <w:color w:val="000000"/>
          <w:sz w:val="23"/>
          <w:szCs w:val="23"/>
        </w:rPr>
        <w:t>Cal</w:t>
      </w:r>
      <w:r>
        <w:rPr>
          <w:rFonts w:cs="Calibri"/>
          <w:color w:val="000000"/>
          <w:sz w:val="23"/>
          <w:szCs w:val="23"/>
        </w:rPr>
        <w:t xml:space="preserve">ifornia </w:t>
      </w:r>
      <w:r>
        <w:rPr>
          <w:rFonts w:cs="Calibri"/>
          <w:b/>
          <w:bCs/>
          <w:color w:val="000000"/>
          <w:sz w:val="23"/>
          <w:szCs w:val="23"/>
        </w:rPr>
        <w:t>V</w:t>
      </w:r>
      <w:r>
        <w:rPr>
          <w:rFonts w:cs="Calibri"/>
          <w:color w:val="000000"/>
          <w:sz w:val="23"/>
          <w:szCs w:val="23"/>
        </w:rPr>
        <w:t xml:space="preserve">ascular </w:t>
      </w:r>
      <w:r>
        <w:rPr>
          <w:rFonts w:cs="Calibri"/>
          <w:b/>
          <w:bCs/>
          <w:color w:val="000000"/>
          <w:sz w:val="23"/>
          <w:szCs w:val="23"/>
        </w:rPr>
        <w:t>O</w:t>
      </w:r>
      <w:r>
        <w:rPr>
          <w:rFonts w:cs="Calibri"/>
          <w:color w:val="000000"/>
          <w:sz w:val="23"/>
          <w:szCs w:val="23"/>
        </w:rPr>
        <w:t xml:space="preserve">utcomes </w:t>
      </w:r>
      <w:r>
        <w:rPr>
          <w:rFonts w:cs="Calibri"/>
          <w:b/>
          <w:bCs/>
          <w:color w:val="000000"/>
          <w:sz w:val="23"/>
          <w:szCs w:val="23"/>
        </w:rPr>
        <w:t>I</w:t>
      </w:r>
      <w:r>
        <w:rPr>
          <w:rFonts w:cs="Calibri"/>
          <w:color w:val="000000"/>
          <w:sz w:val="23"/>
          <w:szCs w:val="23"/>
        </w:rPr>
        <w:t xml:space="preserve">mprovement </w:t>
      </w:r>
      <w:r>
        <w:rPr>
          <w:rFonts w:cs="Calibri"/>
          <w:b/>
          <w:bCs/>
          <w:color w:val="000000"/>
          <w:sz w:val="23"/>
          <w:szCs w:val="23"/>
        </w:rPr>
        <w:t>C</w:t>
      </w:r>
      <w:r>
        <w:rPr>
          <w:rFonts w:cs="Calibri"/>
          <w:color w:val="000000"/>
          <w:sz w:val="23"/>
          <w:szCs w:val="23"/>
        </w:rPr>
        <w:t>ollaborativ</w:t>
      </w:r>
      <w:r>
        <w:rPr>
          <w:rFonts w:cs="Calibri"/>
          <w:b/>
          <w:bCs/>
          <w:color w:val="000000"/>
          <w:sz w:val="23"/>
          <w:szCs w:val="23"/>
        </w:rPr>
        <w:t xml:space="preserve">e </w:t>
      </w:r>
      <w:r>
        <w:rPr>
          <w:rFonts w:cs="Calibri"/>
          <w:color w:val="000000"/>
          <w:sz w:val="23"/>
          <w:szCs w:val="23"/>
        </w:rPr>
        <w:t>(So Cal VOICe),</w:t>
      </w:r>
      <w:r>
        <w:rPr>
          <w:rFonts w:cs="Calibri"/>
          <w:color w:val="000000"/>
          <w:sz w:val="23"/>
          <w:szCs w:val="23"/>
        </w:rPr>
        <w:t xml:space="preserve"> in which I am a member and active participant.  The So Cal VOICe is a regional voluntary cooperative group of vascular disease specialists dedicated to improving outcomes and advancing the care of vascular patients.  Our regional group is part of a nation</w:t>
      </w:r>
      <w:r>
        <w:rPr>
          <w:rFonts w:cs="Calibri"/>
          <w:color w:val="000000"/>
          <w:sz w:val="23"/>
          <w:szCs w:val="23"/>
        </w:rPr>
        <w:t xml:space="preserve">al network of quality improvement organizations sponsored by the Society for Vascular Surgery. </w:t>
      </w:r>
    </w:p>
    <w:p w:rsidR="00000000" w:rsidRDefault="00A1012C">
      <w:pPr>
        <w:pStyle w:val="CM3"/>
        <w:spacing w:after="292" w:line="296" w:lineRule="atLeast"/>
        <w:ind w:right="125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As always, if you have any questions please contact me at _____________, and I would be happy to speak with you. </w:t>
      </w:r>
    </w:p>
    <w:p w:rsidR="00000000" w:rsidRDefault="00A1012C">
      <w:pPr>
        <w:pStyle w:val="CM1"/>
        <w:spacing w:after="216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Sincerely, </w:t>
      </w:r>
    </w:p>
    <w:p w:rsidR="00000000" w:rsidRDefault="00A1012C">
      <w:pPr>
        <w:pStyle w:val="Default"/>
        <w:framePr w:w="2552" w:wrap="auto" w:vAnchor="page" w:hAnchor="page" w:x="5244" w:y="11304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2C" w:rsidRDefault="00A1012C">
      <w:pPr>
        <w:pStyle w:val="Default"/>
        <w:spacing w:after="77" w:line="246" w:lineRule="atLeast"/>
        <w:jc w:val="center"/>
        <w:rPr>
          <w:color w:val="1F487C"/>
          <w:sz w:val="20"/>
          <w:szCs w:val="20"/>
        </w:rPr>
      </w:pPr>
    </w:p>
    <w:p w:rsidR="00A1012C" w:rsidRDefault="00A1012C">
      <w:pPr>
        <w:pStyle w:val="Default"/>
        <w:spacing w:after="77" w:line="246" w:lineRule="atLeast"/>
        <w:jc w:val="center"/>
        <w:rPr>
          <w:color w:val="1F487C"/>
          <w:sz w:val="20"/>
          <w:szCs w:val="20"/>
        </w:rPr>
      </w:pPr>
    </w:p>
    <w:p w:rsidR="00A1012C" w:rsidRDefault="00A1012C">
      <w:pPr>
        <w:pStyle w:val="Default"/>
        <w:spacing w:after="77" w:line="246" w:lineRule="atLeast"/>
        <w:jc w:val="center"/>
        <w:rPr>
          <w:color w:val="1F487C"/>
          <w:sz w:val="20"/>
          <w:szCs w:val="20"/>
        </w:rPr>
      </w:pPr>
    </w:p>
    <w:p w:rsidR="00A1012C" w:rsidRDefault="00A1012C">
      <w:pPr>
        <w:pStyle w:val="Default"/>
        <w:spacing w:after="77" w:line="246" w:lineRule="atLeast"/>
        <w:jc w:val="center"/>
        <w:rPr>
          <w:color w:val="1F487C"/>
          <w:sz w:val="20"/>
          <w:szCs w:val="20"/>
        </w:rPr>
      </w:pPr>
    </w:p>
    <w:p w:rsidR="00A1012C" w:rsidRDefault="00A1012C">
      <w:pPr>
        <w:pStyle w:val="Default"/>
        <w:spacing w:after="77" w:line="246" w:lineRule="atLeast"/>
        <w:jc w:val="center"/>
        <w:rPr>
          <w:color w:val="1F487C"/>
          <w:sz w:val="20"/>
          <w:szCs w:val="20"/>
        </w:rPr>
      </w:pPr>
    </w:p>
    <w:p w:rsidR="00000000" w:rsidRDefault="00A1012C">
      <w:pPr>
        <w:pStyle w:val="Default"/>
        <w:spacing w:after="77" w:line="246" w:lineRule="atLeast"/>
        <w:jc w:val="center"/>
        <w:rPr>
          <w:color w:val="1F487C"/>
          <w:sz w:val="20"/>
          <w:szCs w:val="20"/>
        </w:rPr>
      </w:pPr>
      <w:bookmarkStart w:id="0" w:name="_GoBack"/>
      <w:bookmarkEnd w:id="0"/>
      <w:r>
        <w:rPr>
          <w:color w:val="1F487C"/>
          <w:sz w:val="20"/>
          <w:szCs w:val="20"/>
        </w:rPr>
        <w:t xml:space="preserve">http://www.vascularqualityinitiative.org/ </w:t>
      </w:r>
    </w:p>
    <w:p w:rsidR="00000000" w:rsidRDefault="00A1012C">
      <w:pPr>
        <w:pStyle w:val="Default"/>
        <w:numPr>
          <w:ilvl w:val="0"/>
          <w:numId w:val="1"/>
        </w:numPr>
        <w:spacing w:after="15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Freemantle C, Cleland J, Young P, Mason J, Harrison J.  Beta blockade after myocardial infa</w:t>
      </w:r>
      <w:r>
        <w:rPr>
          <w:sz w:val="20"/>
          <w:szCs w:val="20"/>
        </w:rPr>
        <w:t xml:space="preserve">rction:  systematic review and meta regression analysis.  BMJ. 1999:318)7200:1730-1737 </w:t>
      </w:r>
    </w:p>
    <w:p w:rsidR="00000000" w:rsidRDefault="00A1012C">
      <w:pPr>
        <w:pStyle w:val="Default"/>
        <w:numPr>
          <w:ilvl w:val="0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Aranow WS, Ahn C. Effect of beta blockers on incidence of new coronary events in older persons with prior myocardial infarction and symptomatic peripheral arterial dis</w:t>
      </w:r>
      <w:r>
        <w:rPr>
          <w:sz w:val="20"/>
          <w:szCs w:val="20"/>
        </w:rPr>
        <w:t>ease.  Am J Cardiol. 2001;87(11): 284</w:t>
      </w:r>
      <w:r>
        <w:rPr>
          <w:sz w:val="20"/>
          <w:szCs w:val="20"/>
        </w:rPr>
        <w:softHyphen/>
        <w:t xml:space="preserve">1286. </w:t>
      </w:r>
    </w:p>
    <w:sectPr w:rsidR="00000000">
      <w:pgSz w:w="12240" w:h="16340"/>
      <w:pgMar w:top="1891" w:right="1471" w:bottom="950" w:left="16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E4A0C8"/>
    <w:multiLevelType w:val="hybridMultilevel"/>
    <w:tmpl w:val="6D2C64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2C"/>
    <w:rsid w:val="00A1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Dr</vt:lpstr>
    </vt:vector>
  </TitlesOfParts>
  <Company>Bonus Pastor Catholic College, BR1 5PZ, UK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Dr</dc:title>
  <dc:creator>Stephen Lee</dc:creator>
  <cp:lastModifiedBy>Nancy</cp:lastModifiedBy>
  <cp:revision>2</cp:revision>
  <dcterms:created xsi:type="dcterms:W3CDTF">2016-06-09T16:17:00Z</dcterms:created>
  <dcterms:modified xsi:type="dcterms:W3CDTF">2016-06-09T16:17:00Z</dcterms:modified>
</cp:coreProperties>
</file>