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C4B5" w14:textId="77777777" w:rsidR="000123AC" w:rsidRDefault="000123AC">
      <w:pPr>
        <w:rPr>
          <w:b/>
          <w:bCs/>
        </w:rPr>
      </w:pPr>
    </w:p>
    <w:p w14:paraId="0DD98949" w14:textId="77777777" w:rsidR="000123AC" w:rsidRDefault="000123AC">
      <w:pPr>
        <w:rPr>
          <w:b/>
          <w:bCs/>
        </w:rPr>
      </w:pPr>
    </w:p>
    <w:p w14:paraId="0E34A9F2" w14:textId="3C3AC980" w:rsidR="002B08CD" w:rsidRPr="00027AA8" w:rsidRDefault="000123A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A3048E" wp14:editId="3DE8E94A">
            <wp:simplePos x="0" y="0"/>
            <wp:positionH relativeFrom="margin">
              <wp:align>center</wp:align>
            </wp:positionH>
            <wp:positionV relativeFrom="margin">
              <wp:posOffset>-485775</wp:posOffset>
            </wp:positionV>
            <wp:extent cx="2047875" cy="1023938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23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S</w:t>
      </w:r>
      <w:r w:rsidR="009845A6" w:rsidRPr="00027AA8">
        <w:rPr>
          <w:b/>
          <w:bCs/>
        </w:rPr>
        <w:t>PRING 2021 VQI Regional Quality Report</w:t>
      </w:r>
    </w:p>
    <w:p w14:paraId="46FE419F" w14:textId="5BFFF816" w:rsidR="009845A6" w:rsidRPr="00027AA8" w:rsidRDefault="009845A6">
      <w:pPr>
        <w:rPr>
          <w:u w:val="single"/>
        </w:rPr>
      </w:pPr>
      <w:r w:rsidRPr="00027AA8">
        <w:rPr>
          <w:u w:val="single"/>
        </w:rPr>
        <w:t>Important</w:t>
      </w:r>
      <w:r w:rsidR="00BC1D74">
        <w:rPr>
          <w:u w:val="single"/>
        </w:rPr>
        <w:t xml:space="preserve"> </w:t>
      </w:r>
      <w:r w:rsidRPr="00027AA8">
        <w:rPr>
          <w:u w:val="single"/>
        </w:rPr>
        <w:t>Updates</w:t>
      </w:r>
    </w:p>
    <w:p w14:paraId="318FE564" w14:textId="761B5A4B" w:rsidR="009845A6" w:rsidRDefault="00606F80">
      <w:r>
        <w:t>The following</w:t>
      </w:r>
      <w:r w:rsidR="00522F13">
        <w:t xml:space="preserve"> updates </w:t>
      </w:r>
      <w:r>
        <w:t>have been implemented</w:t>
      </w:r>
      <w:r w:rsidR="008E49A3">
        <w:t xml:space="preserve"> to enhance and imp</w:t>
      </w:r>
      <w:r>
        <w:t>r</w:t>
      </w:r>
      <w:r w:rsidR="008E49A3">
        <w:t>ove</w:t>
      </w:r>
      <w:r>
        <w:t xml:space="preserve"> the SPRING 2021 VQI Regional Quality Report:</w:t>
      </w:r>
    </w:p>
    <w:p w14:paraId="04E2B69E" w14:textId="77777777" w:rsidR="004E7747" w:rsidRDefault="00606F80" w:rsidP="004E7747">
      <w:pPr>
        <w:pStyle w:val="ListParagraph"/>
        <w:numPr>
          <w:ilvl w:val="0"/>
          <w:numId w:val="1"/>
        </w:numPr>
        <w:rPr>
          <w:u w:val="single"/>
        </w:rPr>
      </w:pPr>
      <w:r w:rsidRPr="004E7747">
        <w:rPr>
          <w:u w:val="single"/>
        </w:rPr>
        <w:t>Embedded drill-down and data feedback for each report</w:t>
      </w:r>
    </w:p>
    <w:p w14:paraId="2624E5F1" w14:textId="7557DEBA" w:rsidR="004E7747" w:rsidRDefault="004E7747" w:rsidP="004E7747">
      <w:pPr>
        <w:pStyle w:val="ListParagraph"/>
      </w:pPr>
      <w:r>
        <w:t>The VQI Case Appendix now contains interactive tables that centers can use to e</w:t>
      </w:r>
      <w:r w:rsidRPr="004E7747">
        <w:t>asily identify and download cases that were included or excluded from each</w:t>
      </w:r>
      <w:r>
        <w:t xml:space="preserve"> </w:t>
      </w:r>
      <w:r w:rsidRPr="004E7747">
        <w:t>report, as well as cases with each noted outcome</w:t>
      </w:r>
      <w:r>
        <w:t>.</w:t>
      </w:r>
    </w:p>
    <w:p w14:paraId="47088CD1" w14:textId="77777777" w:rsidR="00913FAB" w:rsidRPr="004E7747" w:rsidRDefault="00913FAB" w:rsidP="004E7747">
      <w:pPr>
        <w:pStyle w:val="ListParagraph"/>
        <w:rPr>
          <w:u w:val="single"/>
        </w:rPr>
      </w:pPr>
    </w:p>
    <w:p w14:paraId="57D2F582" w14:textId="12CFFC71" w:rsidR="004E7747" w:rsidRPr="004E7747" w:rsidRDefault="00B0414A" w:rsidP="00027AA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Updated </w:t>
      </w:r>
      <w:r w:rsidR="00027AA8" w:rsidRPr="004E7747">
        <w:rPr>
          <w:u w:val="single"/>
        </w:rPr>
        <w:t>dashboard</w:t>
      </w:r>
      <w:r w:rsidR="008E49A3" w:rsidRPr="004E7747">
        <w:rPr>
          <w:u w:val="single"/>
        </w:rPr>
        <w:t xml:space="preserve"> </w:t>
      </w:r>
    </w:p>
    <w:p w14:paraId="0F569EDF" w14:textId="6BCCB332" w:rsidR="004E7747" w:rsidRDefault="004E7747" w:rsidP="004E7747">
      <w:pPr>
        <w:pStyle w:val="ListParagraph"/>
      </w:pPr>
      <w:r>
        <w:t xml:space="preserve">The dashboard has been updated </w:t>
      </w:r>
      <w:r w:rsidR="00D56416">
        <w:t xml:space="preserve">and simplified </w:t>
      </w:r>
      <w:r>
        <w:t xml:space="preserve">with a </w:t>
      </w:r>
      <w:r w:rsidR="008E49A3">
        <w:t>new color scheme</w:t>
      </w:r>
      <w:r>
        <w:t xml:space="preserve"> to </w:t>
      </w:r>
      <w:r w:rsidR="00913FAB">
        <w:t xml:space="preserve">increase readability and </w:t>
      </w:r>
      <w:r>
        <w:t>align with VQI</w:t>
      </w:r>
      <w:r w:rsidR="000D079D">
        <w:t xml:space="preserve"> branding. </w:t>
      </w:r>
      <w:r>
        <w:t>Ce</w:t>
      </w:r>
      <w:r w:rsidR="008E49A3">
        <w:t>nters in the “</w:t>
      </w:r>
      <w:r w:rsidR="00913FAB">
        <w:t>best</w:t>
      </w:r>
      <w:r w:rsidR="008E49A3">
        <w:t>”</w:t>
      </w:r>
      <w:r w:rsidR="00913FAB">
        <w:t xml:space="preserve"> 25</w:t>
      </w:r>
      <w:r w:rsidR="00913FAB" w:rsidRPr="00913FAB">
        <w:rPr>
          <w:vertAlign w:val="superscript"/>
        </w:rPr>
        <w:t>th</w:t>
      </w:r>
      <w:r w:rsidR="00913FAB">
        <w:t xml:space="preserve"> percentile or </w:t>
      </w:r>
      <w:r w:rsidR="008E49A3">
        <w:t>“</w:t>
      </w:r>
      <w:r w:rsidR="00913FAB">
        <w:t>worst</w:t>
      </w:r>
      <w:r w:rsidR="008E49A3">
        <w:t>”</w:t>
      </w:r>
      <w:r w:rsidR="00913FAB">
        <w:t xml:space="preserve"> </w:t>
      </w:r>
      <w:r w:rsidR="008E49A3">
        <w:t>25</w:t>
      </w:r>
      <w:r w:rsidR="008E49A3" w:rsidRPr="008E49A3">
        <w:rPr>
          <w:vertAlign w:val="superscript"/>
        </w:rPr>
        <w:t>th</w:t>
      </w:r>
      <w:r w:rsidR="008E49A3">
        <w:t xml:space="preserve"> percentile</w:t>
      </w:r>
      <w:r w:rsidR="00264CF5">
        <w:t xml:space="preserve"> for VQI Overall</w:t>
      </w:r>
      <w:r w:rsidR="00913FAB">
        <w:t xml:space="preserve"> </w:t>
      </w:r>
      <w:r w:rsidR="008E49A3">
        <w:t xml:space="preserve">are now </w:t>
      </w:r>
      <w:r w:rsidR="00264CF5">
        <w:t xml:space="preserve">highlighted </w:t>
      </w:r>
      <w:r w:rsidR="008E49A3">
        <w:t xml:space="preserve">blue </w:t>
      </w:r>
      <w:r w:rsidR="000C7F02">
        <w:t xml:space="preserve">and </w:t>
      </w:r>
      <w:r w:rsidR="008E49A3">
        <w:t>coral, respectively</w:t>
      </w:r>
      <w:r>
        <w:t xml:space="preserve"> </w:t>
      </w:r>
      <w:r w:rsidR="008E49A3">
        <w:t>(centers in the middle 50%</w:t>
      </w:r>
      <w:r>
        <w:t xml:space="preserve"> are no longer</w:t>
      </w:r>
      <w:r w:rsidR="00264CF5">
        <w:t xml:space="preserve"> highlighted</w:t>
      </w:r>
      <w:r>
        <w:t>).</w:t>
      </w:r>
      <w:r w:rsidR="00264CF5">
        <w:t xml:space="preserve"> </w:t>
      </w:r>
      <w:r>
        <w:t xml:space="preserve">In addition, all percentiles are now ordered the same regardless of whether the outcome is a process measure or complication. </w:t>
      </w:r>
    </w:p>
    <w:p w14:paraId="4E4CBE0A" w14:textId="5B60101A" w:rsidR="00027AA8" w:rsidRDefault="004E7747" w:rsidP="004E7747">
      <w:pPr>
        <w:pStyle w:val="ListParagraph"/>
      </w:pPr>
      <w:r>
        <w:t xml:space="preserve">   </w:t>
      </w:r>
      <w:r w:rsidR="008E49A3">
        <w:t xml:space="preserve">    </w:t>
      </w:r>
    </w:p>
    <w:p w14:paraId="690FE608" w14:textId="77777777" w:rsidR="00913FAB" w:rsidRDefault="004E7747" w:rsidP="00913FAB">
      <w:pPr>
        <w:pStyle w:val="ListParagraph"/>
        <w:numPr>
          <w:ilvl w:val="0"/>
          <w:numId w:val="1"/>
        </w:numPr>
        <w:rPr>
          <w:u w:val="single"/>
        </w:rPr>
      </w:pPr>
      <w:r w:rsidRPr="00913FAB">
        <w:rPr>
          <w:u w:val="single"/>
        </w:rPr>
        <w:t xml:space="preserve">New </w:t>
      </w:r>
      <w:r w:rsidR="00606F80" w:rsidRPr="00913FAB">
        <w:rPr>
          <w:u w:val="single"/>
        </w:rPr>
        <w:t xml:space="preserve">regional display criteria for report tables and line charts </w:t>
      </w:r>
    </w:p>
    <w:p w14:paraId="4AC4E79D" w14:textId="68078C13" w:rsidR="00E92811" w:rsidRDefault="00606F80" w:rsidP="00913FAB">
      <w:pPr>
        <w:pStyle w:val="ListParagraph"/>
      </w:pPr>
      <w:r>
        <w:t>Regions now only need at least 3 centers with included cases</w:t>
      </w:r>
      <w:r w:rsidR="00005DD1">
        <w:t xml:space="preserve"> (instead of</w:t>
      </w:r>
      <w:r w:rsidR="00BC3A71">
        <w:t xml:space="preserve"> at least 3 centers with at least 10 included cases</w:t>
      </w:r>
      <w:r w:rsidR="00D84412">
        <w:t xml:space="preserve"> per center</w:t>
      </w:r>
      <w:r w:rsidR="00BC3A71">
        <w:t xml:space="preserve">) </w:t>
      </w:r>
      <w:r>
        <w:t>for regional results to be displayed in table</w:t>
      </w:r>
      <w:r w:rsidR="00D84412">
        <w:t>s</w:t>
      </w:r>
      <w:r>
        <w:t xml:space="preserve"> and line charts. This change</w:t>
      </w:r>
      <w:r w:rsidR="00D84412">
        <w:t xml:space="preserve"> </w:t>
      </w:r>
      <w:r>
        <w:t>afford</w:t>
      </w:r>
      <w:r w:rsidR="00D84412">
        <w:t>s</w:t>
      </w:r>
      <w:r>
        <w:t xml:space="preserve"> regions more access to their regional results for more reports while still protecting center identity.</w:t>
      </w:r>
      <w:r w:rsidR="003C303A">
        <w:t xml:space="preserve"> </w:t>
      </w:r>
      <w:r w:rsidR="00BC3A71">
        <w:t>No changes have been</w:t>
      </w:r>
      <w:r w:rsidR="00D84412">
        <w:t xml:space="preserve"> made to regional display criteria for bar charts</w:t>
      </w:r>
      <w:r w:rsidR="00E92811">
        <w:t xml:space="preserve">, </w:t>
      </w:r>
      <w:r w:rsidR="009D14AF">
        <w:t xml:space="preserve">which </w:t>
      </w:r>
      <w:r w:rsidR="00E92811">
        <w:t>still require</w:t>
      </w:r>
      <w:r w:rsidR="003C303A">
        <w:t xml:space="preserve"> regions to have </w:t>
      </w:r>
      <w:r w:rsidR="004D549A">
        <w:t xml:space="preserve">at least </w:t>
      </w:r>
      <w:r w:rsidR="00E92811">
        <w:t xml:space="preserve">3 centers with at least 10 </w:t>
      </w:r>
      <w:r w:rsidR="00C229F7">
        <w:t>included cases</w:t>
      </w:r>
      <w:r w:rsidR="008864D1">
        <w:t xml:space="preserve"> per center</w:t>
      </w:r>
      <w:r w:rsidR="003C303A">
        <w:t xml:space="preserve"> </w:t>
      </w:r>
      <w:r w:rsidR="0040072B" w:rsidRPr="0040072B">
        <w:t>(</w:t>
      </w:r>
      <w:r w:rsidR="009D14AF">
        <w:t xml:space="preserve">at least </w:t>
      </w:r>
      <w:r w:rsidR="0040072B" w:rsidRPr="0040072B">
        <w:t>10 complete cases</w:t>
      </w:r>
      <w:r w:rsidR="003C303A">
        <w:t xml:space="preserve"> per center for risk-adjusted reports</w:t>
      </w:r>
      <w:r w:rsidR="0040072B" w:rsidRPr="0040072B">
        <w:t>).</w:t>
      </w:r>
    </w:p>
    <w:p w14:paraId="5EADA57F" w14:textId="77777777" w:rsidR="00913FAB" w:rsidRPr="00913FAB" w:rsidRDefault="00913FAB" w:rsidP="00913FAB">
      <w:pPr>
        <w:pStyle w:val="ListParagraph"/>
        <w:rPr>
          <w:u w:val="single"/>
        </w:rPr>
      </w:pPr>
    </w:p>
    <w:p w14:paraId="2A2CE95B" w14:textId="77777777" w:rsidR="00913FAB" w:rsidRPr="00913FAB" w:rsidRDefault="00913FAB" w:rsidP="009845A6">
      <w:pPr>
        <w:pStyle w:val="ListParagraph"/>
        <w:numPr>
          <w:ilvl w:val="0"/>
          <w:numId w:val="1"/>
        </w:numPr>
        <w:rPr>
          <w:u w:val="single"/>
        </w:rPr>
      </w:pPr>
      <w:r w:rsidRPr="00913FAB">
        <w:rPr>
          <w:u w:val="single"/>
        </w:rPr>
        <w:t xml:space="preserve">Consistent bar chart ordering </w:t>
      </w:r>
    </w:p>
    <w:p w14:paraId="09C5C098" w14:textId="3B43A9E9" w:rsidR="00606F80" w:rsidRDefault="00606F80" w:rsidP="00913FAB">
      <w:pPr>
        <w:pStyle w:val="ListParagraph"/>
      </w:pPr>
      <w:r>
        <w:t>All bar charts are now ordered from</w:t>
      </w:r>
      <w:r w:rsidR="00913FAB">
        <w:t xml:space="preserve"> </w:t>
      </w:r>
      <w:r>
        <w:t>“</w:t>
      </w:r>
      <w:r w:rsidR="00913FAB">
        <w:t>best</w:t>
      </w:r>
      <w:r>
        <w:t>” performers to “worst” performers</w:t>
      </w:r>
      <w:r w:rsidR="00913FAB">
        <w:t xml:space="preserve">. That is, </w:t>
      </w:r>
      <w:r>
        <w:t>process measure bar charts are ordered from largest to smallest rate</w:t>
      </w:r>
      <w:r w:rsidR="00DC7EF8">
        <w:t>,</w:t>
      </w:r>
      <w:r>
        <w:t xml:space="preserve"> and complication bar charts are ordered from smallest to largest rate</w:t>
      </w:r>
      <w:r w:rsidR="00913FAB">
        <w:t>.</w:t>
      </w:r>
    </w:p>
    <w:p w14:paraId="0A3541FD" w14:textId="77777777" w:rsidR="00913FAB" w:rsidRDefault="00913FAB" w:rsidP="00913FAB">
      <w:pPr>
        <w:pStyle w:val="ListParagraph"/>
      </w:pPr>
    </w:p>
    <w:p w14:paraId="30F56429" w14:textId="750BBD86" w:rsidR="00063421" w:rsidRDefault="007C701A" w:rsidP="0006342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Updated </w:t>
      </w:r>
      <w:r w:rsidR="004E7747" w:rsidRPr="007C00C3">
        <w:rPr>
          <w:u w:val="single"/>
        </w:rPr>
        <w:t>important notes</w:t>
      </w:r>
    </w:p>
    <w:p w14:paraId="081F53E2" w14:textId="6854FAE7" w:rsidR="00606F80" w:rsidRPr="00063421" w:rsidRDefault="007C00C3" w:rsidP="00063421">
      <w:pPr>
        <w:pStyle w:val="ListParagraph"/>
        <w:rPr>
          <w:u w:val="single"/>
        </w:rPr>
      </w:pPr>
      <w:r>
        <w:t>The Important Notes</w:t>
      </w:r>
      <w:r w:rsidR="007C701A">
        <w:t xml:space="preserve"> section</w:t>
      </w:r>
      <w:r w:rsidR="00641FFD">
        <w:t xml:space="preserve"> of the report </w:t>
      </w:r>
      <w:r>
        <w:t>has been updated to</w:t>
      </w:r>
      <w:r w:rsidR="00D05AAE">
        <w:t xml:space="preserve"> provide clarification and reflect changes to </w:t>
      </w:r>
      <w:r w:rsidR="00063421">
        <w:t>regional display criteria</w:t>
      </w:r>
      <w:r w:rsidR="00D05AAE">
        <w:t xml:space="preserve"> </w:t>
      </w:r>
      <w:r w:rsidR="00F402CD">
        <w:t xml:space="preserve">for table and line charts. </w:t>
      </w:r>
    </w:p>
    <w:p w14:paraId="1CB18541" w14:textId="77777777" w:rsidR="00063421" w:rsidRDefault="00063421" w:rsidP="00CA2F0F">
      <w:pPr>
        <w:pStyle w:val="ListParagraph"/>
      </w:pPr>
    </w:p>
    <w:p w14:paraId="7C736D5F" w14:textId="77777777" w:rsidR="00C40344" w:rsidRDefault="00C40344" w:rsidP="00B831A2">
      <w:pPr>
        <w:rPr>
          <w:u w:val="single"/>
        </w:rPr>
      </w:pPr>
    </w:p>
    <w:p w14:paraId="403F7CF4" w14:textId="77777777" w:rsidR="00C40344" w:rsidRDefault="00C40344" w:rsidP="00B831A2">
      <w:pPr>
        <w:rPr>
          <w:u w:val="single"/>
        </w:rPr>
      </w:pPr>
    </w:p>
    <w:p w14:paraId="2724937E" w14:textId="77777777" w:rsidR="00C40344" w:rsidRDefault="00C40344" w:rsidP="00B831A2">
      <w:pPr>
        <w:rPr>
          <w:u w:val="single"/>
        </w:rPr>
      </w:pPr>
    </w:p>
    <w:p w14:paraId="3035755C" w14:textId="1AC4B50C" w:rsidR="003D36D6" w:rsidRDefault="003D36D6" w:rsidP="00B831A2">
      <w:pPr>
        <w:rPr>
          <w:b/>
          <w:bCs/>
        </w:rPr>
      </w:pPr>
    </w:p>
    <w:p w14:paraId="6133D7F8" w14:textId="0DE40D1D" w:rsidR="00CA2F0F" w:rsidRPr="00CA2F0F" w:rsidRDefault="00CA2F0F" w:rsidP="00B831A2">
      <w:pPr>
        <w:rPr>
          <w:b/>
          <w:bCs/>
        </w:rPr>
      </w:pPr>
      <w:r w:rsidRPr="00027AA8">
        <w:rPr>
          <w:b/>
          <w:bCs/>
        </w:rPr>
        <w:lastRenderedPageBreak/>
        <w:t>SPRING 2021 VQI Regional Quality Report</w:t>
      </w:r>
    </w:p>
    <w:p w14:paraId="41C52E0E" w14:textId="2FF19026" w:rsidR="00B831A2" w:rsidRDefault="00BA5102" w:rsidP="00B831A2">
      <w:pPr>
        <w:rPr>
          <w:u w:val="single"/>
        </w:rPr>
      </w:pPr>
      <w:r>
        <w:rPr>
          <w:u w:val="single"/>
        </w:rPr>
        <w:t>Report-Specific Updates</w:t>
      </w:r>
    </w:p>
    <w:p w14:paraId="3067FBC8" w14:textId="6AA3A7CB" w:rsidR="00BA5102" w:rsidRPr="00DF3E38" w:rsidRDefault="002639BE" w:rsidP="00B831A2">
      <w:r>
        <w:t>The following</w:t>
      </w:r>
      <w:r w:rsidR="00DC7846">
        <w:t xml:space="preserve"> report-specific </w:t>
      </w:r>
      <w:r w:rsidR="00F46770">
        <w:t>u</w:t>
      </w:r>
      <w:r w:rsidR="00CD1723">
        <w:t>pdates</w:t>
      </w:r>
      <w:r w:rsidR="003D7089">
        <w:t xml:space="preserve"> have been impl</w:t>
      </w:r>
      <w:r w:rsidR="00301AD0">
        <w:t xml:space="preserve">emented </w:t>
      </w:r>
      <w:r w:rsidR="003D7089">
        <w:t>to enhance and improve</w:t>
      </w:r>
      <w:r w:rsidR="00E52AFF">
        <w:t xml:space="preserve"> the</w:t>
      </w:r>
      <w:r w:rsidR="00CD1723">
        <w:t xml:space="preserve"> s</w:t>
      </w:r>
      <w:r w:rsidR="00E52AFF">
        <w:t xml:space="preserve">pecified </w:t>
      </w:r>
      <w:r w:rsidR="00CD1723">
        <w:t>report</w:t>
      </w:r>
      <w:r w:rsidR="00C40344">
        <w:t>(s</w:t>
      </w:r>
      <w:r w:rsidR="00152F59">
        <w:t>)</w:t>
      </w:r>
      <w:r w:rsidR="00560B9F">
        <w:t>:</w:t>
      </w:r>
    </w:p>
    <w:p w14:paraId="4FDECE9C" w14:textId="180C6AC9" w:rsidR="00BA5102" w:rsidRPr="00CD1723" w:rsidRDefault="00BA5102" w:rsidP="00BA5102">
      <w:pPr>
        <w:pStyle w:val="ListParagraph"/>
        <w:numPr>
          <w:ilvl w:val="0"/>
          <w:numId w:val="1"/>
        </w:numPr>
        <w:rPr>
          <w:u w:val="single"/>
        </w:rPr>
      </w:pPr>
      <w:r w:rsidRPr="00CD1723">
        <w:rPr>
          <w:u w:val="single"/>
        </w:rPr>
        <w:t>Discharge Medications</w:t>
      </w:r>
    </w:p>
    <w:p w14:paraId="2F695732" w14:textId="744916F2" w:rsidR="00BA5102" w:rsidRDefault="00CD1723" w:rsidP="00A41DCD">
      <w:pPr>
        <w:pStyle w:val="ListParagraph"/>
      </w:pPr>
      <w:r>
        <w:t>Clarified</w:t>
      </w:r>
      <w:r w:rsidR="00550266">
        <w:t xml:space="preserve"> </w:t>
      </w:r>
      <w:r w:rsidR="004A631E">
        <w:t>inclusion/</w:t>
      </w:r>
      <w:r w:rsidR="00550266">
        <w:t xml:space="preserve">exclusion criteria in </w:t>
      </w:r>
      <w:r w:rsidR="00760819">
        <w:t xml:space="preserve">the </w:t>
      </w:r>
      <w:r w:rsidR="00550266">
        <w:t>report description</w:t>
      </w:r>
      <w:r w:rsidR="00A41DCD">
        <w:t xml:space="preserve"> – no changes to the report itself</w:t>
      </w:r>
      <w:r>
        <w:t xml:space="preserve">  </w:t>
      </w:r>
    </w:p>
    <w:p w14:paraId="35045CAF" w14:textId="77777777" w:rsidR="00C40344" w:rsidRDefault="00C40344" w:rsidP="00A41DCD">
      <w:pPr>
        <w:pStyle w:val="ListParagraph"/>
      </w:pPr>
    </w:p>
    <w:p w14:paraId="4DF5CE69" w14:textId="459B98B9" w:rsidR="00BA5102" w:rsidRPr="00E56BEE" w:rsidRDefault="00A41DCD" w:rsidP="00BA5102">
      <w:pPr>
        <w:pStyle w:val="ListParagraph"/>
        <w:numPr>
          <w:ilvl w:val="0"/>
          <w:numId w:val="1"/>
        </w:numPr>
        <w:rPr>
          <w:u w:val="single"/>
        </w:rPr>
      </w:pPr>
      <w:r w:rsidRPr="00E56BEE">
        <w:rPr>
          <w:u w:val="single"/>
        </w:rPr>
        <w:t>TCAR</w:t>
      </w:r>
    </w:p>
    <w:p w14:paraId="3CAEE964" w14:textId="598D8451" w:rsidR="00BA5102" w:rsidRDefault="00E74585" w:rsidP="0014172A">
      <w:pPr>
        <w:pStyle w:val="ListParagraph"/>
      </w:pPr>
      <w:r>
        <w:t>Fixed a typo</w:t>
      </w:r>
      <w:r w:rsidR="00AC111A">
        <w:t xml:space="preserve"> in</w:t>
      </w:r>
      <w:r w:rsidR="00573C8C">
        <w:t xml:space="preserve"> prior </w:t>
      </w:r>
      <w:r w:rsidR="00AC111A">
        <w:t>report description</w:t>
      </w:r>
      <w:r w:rsidR="00573C8C">
        <w:t xml:space="preserve"> </w:t>
      </w:r>
      <w:r w:rsidR="00EE5E51">
        <w:t>that</w:t>
      </w:r>
      <w:r w:rsidR="00573C8C">
        <w:t xml:space="preserve"> erroneously </w:t>
      </w:r>
      <w:r w:rsidR="00EE5E51">
        <w:t>indicated</w:t>
      </w:r>
      <w:r w:rsidR="004A631E">
        <w:t xml:space="preserve"> </w:t>
      </w:r>
      <w:r w:rsidR="00573C8C">
        <w:t xml:space="preserve">that </w:t>
      </w:r>
      <w:r w:rsidR="00EE5E51">
        <w:t>procedures with an approach other than “Femoral” were excluded</w:t>
      </w:r>
      <w:r w:rsidR="00E2373D">
        <w:t xml:space="preserve"> from reports</w:t>
      </w:r>
    </w:p>
    <w:p w14:paraId="64E290AB" w14:textId="77777777" w:rsidR="00EE5E51" w:rsidRDefault="00EE5E51" w:rsidP="00EE5E51">
      <w:pPr>
        <w:pStyle w:val="ListParagraph"/>
      </w:pPr>
    </w:p>
    <w:p w14:paraId="2EA8AF01" w14:textId="26C4373E" w:rsidR="00BA5102" w:rsidRPr="00EE5E51" w:rsidRDefault="00EE5E51" w:rsidP="00BA5102">
      <w:pPr>
        <w:pStyle w:val="ListParagraph"/>
        <w:numPr>
          <w:ilvl w:val="0"/>
          <w:numId w:val="1"/>
        </w:numPr>
        <w:rPr>
          <w:u w:val="single"/>
        </w:rPr>
      </w:pPr>
      <w:r w:rsidRPr="00EE5E51">
        <w:rPr>
          <w:u w:val="single"/>
        </w:rPr>
        <w:t>EVAR</w:t>
      </w:r>
      <w:r w:rsidR="006709F0">
        <w:rPr>
          <w:u w:val="single"/>
        </w:rPr>
        <w:t xml:space="preserve">: </w:t>
      </w:r>
      <w:r w:rsidRPr="00EE5E51">
        <w:rPr>
          <w:u w:val="single"/>
        </w:rPr>
        <w:t>Postop LOS &gt; 2 Days</w:t>
      </w:r>
    </w:p>
    <w:p w14:paraId="02EC7B82" w14:textId="59AC6FF5" w:rsidR="00EE5E51" w:rsidRDefault="00DE74F3" w:rsidP="00B66F53">
      <w:pPr>
        <w:pStyle w:val="ListParagraph"/>
      </w:pPr>
      <w:r>
        <w:t>Changed i</w:t>
      </w:r>
      <w:r w:rsidR="00293CD4">
        <w:t>nclusion/</w:t>
      </w:r>
      <w:r>
        <w:t>e</w:t>
      </w:r>
      <w:r w:rsidR="00293CD4">
        <w:t>xclusion criteria</w:t>
      </w:r>
      <w:r w:rsidR="00C94B5B">
        <w:t xml:space="preserve"> </w:t>
      </w:r>
      <w:r w:rsidR="003767B4">
        <w:t>–</w:t>
      </w:r>
      <w:r w:rsidR="00AB6F48">
        <w:t xml:space="preserve"> </w:t>
      </w:r>
      <w:r w:rsidR="003767B4">
        <w:t>Transfers and patients with prior aortic surgery are</w:t>
      </w:r>
      <w:r>
        <w:t xml:space="preserve"> no longer exclusions for the report</w:t>
      </w:r>
      <w:r w:rsidR="003767B4">
        <w:t>.</w:t>
      </w:r>
      <w:r>
        <w:t xml:space="preserve"> </w:t>
      </w:r>
      <w:r w:rsidR="00511EF4">
        <w:t>Transfer status and prior aortic surgery are now used as risk-adjustment variables</w:t>
      </w:r>
      <w:r w:rsidR="00B66F53">
        <w:t xml:space="preserve"> in the statistical model. </w:t>
      </w:r>
      <w:r w:rsidR="00511EF4">
        <w:t xml:space="preserve"> </w:t>
      </w:r>
    </w:p>
    <w:p w14:paraId="508B061D" w14:textId="77777777" w:rsidR="0014172A" w:rsidRDefault="0014172A" w:rsidP="0014172A">
      <w:pPr>
        <w:pStyle w:val="ListParagraph"/>
        <w:rPr>
          <w:u w:val="single"/>
        </w:rPr>
      </w:pPr>
    </w:p>
    <w:p w14:paraId="70FBD447" w14:textId="55A8184D" w:rsidR="00EE5E51" w:rsidRPr="008308FC" w:rsidRDefault="008308FC" w:rsidP="00BA5102">
      <w:pPr>
        <w:pStyle w:val="ListParagraph"/>
        <w:numPr>
          <w:ilvl w:val="0"/>
          <w:numId w:val="1"/>
        </w:numPr>
        <w:rPr>
          <w:u w:val="single"/>
        </w:rPr>
      </w:pPr>
      <w:r w:rsidRPr="008308FC">
        <w:rPr>
          <w:u w:val="single"/>
        </w:rPr>
        <w:t>TEVAR</w:t>
      </w:r>
      <w:r w:rsidR="006709F0">
        <w:rPr>
          <w:u w:val="single"/>
        </w:rPr>
        <w:t xml:space="preserve">: </w:t>
      </w:r>
      <w:r w:rsidRPr="008308FC">
        <w:rPr>
          <w:u w:val="single"/>
        </w:rPr>
        <w:t>Sac Diameter Reporting</w:t>
      </w:r>
    </w:p>
    <w:p w14:paraId="47BDE8E8" w14:textId="34302DB5" w:rsidR="0014172A" w:rsidRDefault="0014172A" w:rsidP="0014172A">
      <w:pPr>
        <w:pStyle w:val="ListParagraph"/>
      </w:pPr>
      <w:r>
        <w:t xml:space="preserve">Clarified </w:t>
      </w:r>
      <w:r w:rsidR="004A631E">
        <w:t>inclusion/</w:t>
      </w:r>
      <w:r>
        <w:t xml:space="preserve">exclusion criteria in </w:t>
      </w:r>
      <w:r w:rsidR="00760819">
        <w:t xml:space="preserve">the </w:t>
      </w:r>
      <w:r>
        <w:t>report description – no changes to the report itself</w:t>
      </w:r>
    </w:p>
    <w:p w14:paraId="216D18BF" w14:textId="77777777" w:rsidR="0014172A" w:rsidRDefault="0014172A" w:rsidP="00DF5AFE">
      <w:pPr>
        <w:pStyle w:val="ListParagraph"/>
      </w:pPr>
    </w:p>
    <w:p w14:paraId="1DDE048A" w14:textId="239A4242" w:rsidR="00E74C68" w:rsidRPr="0046275D" w:rsidRDefault="00DF5AFE" w:rsidP="00BA5102">
      <w:pPr>
        <w:pStyle w:val="ListParagraph"/>
        <w:numPr>
          <w:ilvl w:val="0"/>
          <w:numId w:val="1"/>
        </w:numPr>
        <w:rPr>
          <w:u w:val="single"/>
        </w:rPr>
      </w:pPr>
      <w:r w:rsidRPr="0046275D">
        <w:rPr>
          <w:u w:val="single"/>
        </w:rPr>
        <w:t>PVI</w:t>
      </w:r>
      <w:r w:rsidR="006709F0" w:rsidRPr="0046275D">
        <w:rPr>
          <w:u w:val="single"/>
        </w:rPr>
        <w:t xml:space="preserve">: </w:t>
      </w:r>
      <w:r w:rsidRPr="0046275D">
        <w:rPr>
          <w:u w:val="single"/>
        </w:rPr>
        <w:t>ABI/Toe Pressure</w:t>
      </w:r>
    </w:p>
    <w:p w14:paraId="3A3F857E" w14:textId="72DA845B" w:rsidR="00791A20" w:rsidRDefault="006709F0" w:rsidP="00791A20">
      <w:pPr>
        <w:pStyle w:val="ListParagraph"/>
      </w:pPr>
      <w:r>
        <w:t>Nomenclature change to “PVI CLAUD: ABI/Toe Pressure”</w:t>
      </w:r>
      <w:r w:rsidR="00791A20">
        <w:t>. In addition, clarified</w:t>
      </w:r>
      <w:r w:rsidR="0037783C">
        <w:t xml:space="preserve"> </w:t>
      </w:r>
      <w:r w:rsidR="00791A20">
        <w:t xml:space="preserve">inclusion/exclusion criteria in </w:t>
      </w:r>
      <w:r w:rsidR="00760819">
        <w:t xml:space="preserve">the </w:t>
      </w:r>
      <w:r w:rsidR="00791A20">
        <w:t>report description</w:t>
      </w:r>
      <w:r w:rsidR="009F6763">
        <w:t xml:space="preserve"> </w:t>
      </w:r>
      <w:r w:rsidR="00791A20">
        <w:t>– no changes to the report itself</w:t>
      </w:r>
      <w:r w:rsidR="009F6763">
        <w:t>.</w:t>
      </w:r>
    </w:p>
    <w:p w14:paraId="067C2DD0" w14:textId="6FFD1B83" w:rsidR="00E74C68" w:rsidRDefault="00E74C68" w:rsidP="009A5449">
      <w:pPr>
        <w:pStyle w:val="ListParagraph"/>
      </w:pPr>
    </w:p>
    <w:p w14:paraId="4A010E21" w14:textId="5C15700B" w:rsidR="0014172A" w:rsidRPr="00773366" w:rsidRDefault="00F04963" w:rsidP="00BA5102">
      <w:pPr>
        <w:pStyle w:val="ListParagraph"/>
        <w:numPr>
          <w:ilvl w:val="0"/>
          <w:numId w:val="1"/>
        </w:numPr>
        <w:rPr>
          <w:u w:val="single"/>
        </w:rPr>
      </w:pPr>
      <w:r w:rsidRPr="00773366">
        <w:rPr>
          <w:u w:val="single"/>
        </w:rPr>
        <w:t>INFRA: Major Complications</w:t>
      </w:r>
    </w:p>
    <w:p w14:paraId="3C23DB99" w14:textId="5DF07285" w:rsidR="009A5449" w:rsidRDefault="003E49AA" w:rsidP="009A5449">
      <w:pPr>
        <w:pStyle w:val="ListParagraph"/>
      </w:pPr>
      <w:r>
        <w:t>Nomenclature change to “INFRA CLTI: Major Complications”</w:t>
      </w:r>
      <w:r w:rsidR="00E32A32">
        <w:t>.</w:t>
      </w:r>
      <w:r>
        <w:t xml:space="preserve"> In addition, </w:t>
      </w:r>
      <w:r w:rsidR="00DE74F3">
        <w:t>change</w:t>
      </w:r>
      <w:r w:rsidR="0037783C">
        <w:t xml:space="preserve">d </w:t>
      </w:r>
      <w:r w:rsidR="00DE74F3">
        <w:t>inclusion/ex</w:t>
      </w:r>
      <w:r w:rsidR="0037783C">
        <w:t>clusion criteria to include</w:t>
      </w:r>
      <w:r w:rsidR="004E6B2A">
        <w:t xml:space="preserve"> procedures for acute ischemia.</w:t>
      </w:r>
    </w:p>
    <w:p w14:paraId="3D782EC9" w14:textId="607213A6" w:rsidR="00573784" w:rsidRDefault="00573784" w:rsidP="00774EC3">
      <w:pPr>
        <w:pStyle w:val="ListParagraph"/>
      </w:pPr>
    </w:p>
    <w:p w14:paraId="562AE79E" w14:textId="61F3B5A6" w:rsidR="00573784" w:rsidRPr="009078A3" w:rsidRDefault="00014F87" w:rsidP="00BA5102">
      <w:pPr>
        <w:pStyle w:val="ListParagraph"/>
        <w:numPr>
          <w:ilvl w:val="0"/>
          <w:numId w:val="1"/>
        </w:numPr>
        <w:rPr>
          <w:u w:val="single"/>
        </w:rPr>
      </w:pPr>
      <w:r w:rsidRPr="009078A3">
        <w:rPr>
          <w:u w:val="single"/>
        </w:rPr>
        <w:t>SUPRA: Major Complications</w:t>
      </w:r>
    </w:p>
    <w:p w14:paraId="736554B4" w14:textId="3ADFA887" w:rsidR="00014F87" w:rsidRDefault="00014F87" w:rsidP="00000E65">
      <w:pPr>
        <w:pStyle w:val="ListParagraph"/>
      </w:pPr>
      <w:r>
        <w:t>Nomenclature change to “SUPRA CLTI: Major Complications”</w:t>
      </w:r>
      <w:r w:rsidR="00E32A32">
        <w:t xml:space="preserve">. </w:t>
      </w:r>
      <w:r>
        <w:t>In addition, changed inclusion/exclusion criteria to include procedures for acute ischemia.</w:t>
      </w:r>
    </w:p>
    <w:p w14:paraId="15EF2209" w14:textId="6A638E66" w:rsidR="00573784" w:rsidRDefault="00573784" w:rsidP="00000E65">
      <w:pPr>
        <w:pStyle w:val="ListParagraph"/>
      </w:pPr>
    </w:p>
    <w:p w14:paraId="55335364" w14:textId="3DC2DDF8" w:rsidR="00E32A32" w:rsidRPr="00774EC3" w:rsidRDefault="007445C8" w:rsidP="00BA5102">
      <w:pPr>
        <w:pStyle w:val="ListParagraph"/>
        <w:numPr>
          <w:ilvl w:val="0"/>
          <w:numId w:val="1"/>
        </w:numPr>
        <w:rPr>
          <w:u w:val="single"/>
        </w:rPr>
      </w:pPr>
      <w:r w:rsidRPr="00774EC3">
        <w:rPr>
          <w:u w:val="single"/>
        </w:rPr>
        <w:t>AVACCESS: Primary AVF vs. Graft</w:t>
      </w:r>
    </w:p>
    <w:p w14:paraId="7AF2B319" w14:textId="4962F55B" w:rsidR="007445C8" w:rsidRDefault="007445C8" w:rsidP="00000E65">
      <w:pPr>
        <w:pStyle w:val="ListParagraph"/>
      </w:pPr>
      <w:r>
        <w:t>Nomen</w:t>
      </w:r>
      <w:r w:rsidR="00E66DDA">
        <w:t>clature change to “HDA: Primary AVF vs. Graft</w:t>
      </w:r>
      <w:r w:rsidR="00000E65">
        <w:t>”</w:t>
      </w:r>
      <w:r w:rsidR="00F739E4">
        <w:t>.</w:t>
      </w:r>
      <w:r w:rsidR="0001351C">
        <w:t xml:space="preserve"> Furthermore, all instances of “AVACCESS” have been replaced </w:t>
      </w:r>
      <w:r w:rsidR="0097490A">
        <w:t xml:space="preserve">by </w:t>
      </w:r>
      <w:r w:rsidR="00F739E4">
        <w:t>“HDA”</w:t>
      </w:r>
      <w:r w:rsidR="0002292C">
        <w:t xml:space="preserve"> </w:t>
      </w:r>
      <w:r w:rsidR="000D34ED">
        <w:t>(Hemodialysis Access)</w:t>
      </w:r>
      <w:r w:rsidR="0001351C">
        <w:t xml:space="preserve"> in </w:t>
      </w:r>
      <w:r w:rsidR="0097490A">
        <w:t xml:space="preserve">all </w:t>
      </w:r>
      <w:r w:rsidR="0001351C">
        <w:t>other reports (e.g., P</w:t>
      </w:r>
      <w:r w:rsidR="0097490A">
        <w:t>rocedure Volume).</w:t>
      </w:r>
    </w:p>
    <w:p w14:paraId="70C39BFF" w14:textId="32D891D3" w:rsidR="007445C8" w:rsidRDefault="007445C8" w:rsidP="001B7880">
      <w:pPr>
        <w:pStyle w:val="ListParagraph"/>
      </w:pPr>
    </w:p>
    <w:p w14:paraId="06AA8647" w14:textId="06599DD2" w:rsidR="007445C8" w:rsidRPr="00000E65" w:rsidRDefault="00000E65" w:rsidP="00BA5102">
      <w:pPr>
        <w:pStyle w:val="ListParagraph"/>
        <w:numPr>
          <w:ilvl w:val="0"/>
          <w:numId w:val="1"/>
        </w:numPr>
        <w:rPr>
          <w:u w:val="single"/>
        </w:rPr>
      </w:pPr>
      <w:r w:rsidRPr="00000E65">
        <w:rPr>
          <w:u w:val="single"/>
        </w:rPr>
        <w:t>IVCF Filter Retrieval Reporting</w:t>
      </w:r>
    </w:p>
    <w:p w14:paraId="0BD47CFD" w14:textId="131758CC" w:rsidR="00063421" w:rsidRDefault="006C377C" w:rsidP="00C40530">
      <w:pPr>
        <w:pStyle w:val="ListParagraph"/>
      </w:pPr>
      <w:r>
        <w:t>Change</w:t>
      </w:r>
      <w:r w:rsidR="00332183">
        <w:t>d</w:t>
      </w:r>
      <w:r>
        <w:t xml:space="preserve"> procedure timeframe to</w:t>
      </w:r>
      <w:r w:rsidR="007240A3">
        <w:t xml:space="preserve"> </w:t>
      </w:r>
      <w:r w:rsidR="005F5A7A">
        <w:t>align</w:t>
      </w:r>
      <w:r w:rsidR="000618D7">
        <w:t xml:space="preserve"> </w:t>
      </w:r>
      <w:r w:rsidR="009C62C1">
        <w:t>the report</w:t>
      </w:r>
      <w:r w:rsidR="005F5A7A">
        <w:t xml:space="preserve"> with data</w:t>
      </w:r>
      <w:r w:rsidR="007240A3">
        <w:t xml:space="preserve"> collection practice</w:t>
      </w:r>
      <w:r w:rsidR="000618D7">
        <w:t>s and entry of follow-up records</w:t>
      </w:r>
      <w:r w:rsidR="00332183">
        <w:t>.</w:t>
      </w:r>
      <w:r w:rsidR="000618D7">
        <w:t xml:space="preserve"> P</w:t>
      </w:r>
      <w:r w:rsidR="00EC5331">
        <w:t>rocedure timeframe</w:t>
      </w:r>
      <w:r w:rsidR="000618D7">
        <w:t xml:space="preserve"> </w:t>
      </w:r>
      <w:r w:rsidR="00EC5331">
        <w:t>now mirrors</w:t>
      </w:r>
      <w:r w:rsidR="00812699">
        <w:t xml:space="preserve"> th</w:t>
      </w:r>
      <w:r w:rsidR="000618D7">
        <w:t xml:space="preserve">at of </w:t>
      </w:r>
      <w:r w:rsidR="00812699">
        <w:t>Long-Term Follow-up, EVAR Sac Diameter Reporting,</w:t>
      </w:r>
      <w:r w:rsidR="00E24CB3">
        <w:t xml:space="preserve"> and TEVAR Sac Diameter Reporting. </w:t>
      </w:r>
      <w:r w:rsidR="00AB05DB">
        <w:t>Accordingly</w:t>
      </w:r>
      <w:r w:rsidR="005E132C">
        <w:t>,</w:t>
      </w:r>
      <w:r w:rsidR="00AB05DB">
        <w:t xml:space="preserve"> </w:t>
      </w:r>
      <w:r w:rsidR="009C62C1">
        <w:t xml:space="preserve">report </w:t>
      </w:r>
      <w:r w:rsidR="00AB05DB">
        <w:t>procedure timeframe for Spring 2021 is now</w:t>
      </w:r>
      <w:r w:rsidR="005E132C">
        <w:t xml:space="preserve"> CY 2018</w:t>
      </w:r>
      <w:r w:rsidR="00E24CB3">
        <w:t>. In addition, clarified inclusion/exclusion criteria</w:t>
      </w:r>
      <w:r w:rsidR="00760819">
        <w:t xml:space="preserve"> in the report description</w:t>
      </w:r>
      <w:r w:rsidR="00EE26C0">
        <w:t xml:space="preserve"> – no other changes to the report itself.</w:t>
      </w:r>
    </w:p>
    <w:sectPr w:rsidR="0006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D0EC9"/>
    <w:multiLevelType w:val="hybridMultilevel"/>
    <w:tmpl w:val="6350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A6"/>
    <w:rsid w:val="00000E65"/>
    <w:rsid w:val="00005DD1"/>
    <w:rsid w:val="000123AC"/>
    <w:rsid w:val="0001351C"/>
    <w:rsid w:val="00014F87"/>
    <w:rsid w:val="0002292C"/>
    <w:rsid w:val="00027AA8"/>
    <w:rsid w:val="000618D7"/>
    <w:rsid w:val="00063421"/>
    <w:rsid w:val="000B55E5"/>
    <w:rsid w:val="000C0F46"/>
    <w:rsid w:val="000C7F02"/>
    <w:rsid w:val="000D079D"/>
    <w:rsid w:val="000D34ED"/>
    <w:rsid w:val="000D4A4E"/>
    <w:rsid w:val="00103EB4"/>
    <w:rsid w:val="00104B26"/>
    <w:rsid w:val="0014172A"/>
    <w:rsid w:val="00152F59"/>
    <w:rsid w:val="001B7880"/>
    <w:rsid w:val="00221C05"/>
    <w:rsid w:val="002639BE"/>
    <w:rsid w:val="00264CF5"/>
    <w:rsid w:val="00293CD4"/>
    <w:rsid w:val="002A39DC"/>
    <w:rsid w:val="002B08CD"/>
    <w:rsid w:val="002C6BD3"/>
    <w:rsid w:val="00301AD0"/>
    <w:rsid w:val="00304F78"/>
    <w:rsid w:val="00311E77"/>
    <w:rsid w:val="00332183"/>
    <w:rsid w:val="003767B4"/>
    <w:rsid w:val="0037783C"/>
    <w:rsid w:val="003C303A"/>
    <w:rsid w:val="003D36D6"/>
    <w:rsid w:val="003D7089"/>
    <w:rsid w:val="003E49AA"/>
    <w:rsid w:val="0040072B"/>
    <w:rsid w:val="00405D07"/>
    <w:rsid w:val="0046275D"/>
    <w:rsid w:val="004A631E"/>
    <w:rsid w:val="004D549A"/>
    <w:rsid w:val="004E5F4D"/>
    <w:rsid w:val="004E6B2A"/>
    <w:rsid w:val="004E7747"/>
    <w:rsid w:val="00511EF4"/>
    <w:rsid w:val="00522077"/>
    <w:rsid w:val="00522F13"/>
    <w:rsid w:val="00550266"/>
    <w:rsid w:val="00560B9F"/>
    <w:rsid w:val="00573784"/>
    <w:rsid w:val="00573C8C"/>
    <w:rsid w:val="005E132C"/>
    <w:rsid w:val="005F5A7A"/>
    <w:rsid w:val="00606F80"/>
    <w:rsid w:val="00630F78"/>
    <w:rsid w:val="00641FFD"/>
    <w:rsid w:val="006709F0"/>
    <w:rsid w:val="006C377C"/>
    <w:rsid w:val="007240A3"/>
    <w:rsid w:val="007445C8"/>
    <w:rsid w:val="00760819"/>
    <w:rsid w:val="00773366"/>
    <w:rsid w:val="00774EC3"/>
    <w:rsid w:val="00791A20"/>
    <w:rsid w:val="007B79C6"/>
    <w:rsid w:val="007C00C3"/>
    <w:rsid w:val="007C701A"/>
    <w:rsid w:val="007F3A80"/>
    <w:rsid w:val="00812699"/>
    <w:rsid w:val="00823C55"/>
    <w:rsid w:val="008308FC"/>
    <w:rsid w:val="008628B6"/>
    <w:rsid w:val="008864D1"/>
    <w:rsid w:val="008D335D"/>
    <w:rsid w:val="008E49A3"/>
    <w:rsid w:val="009078A3"/>
    <w:rsid w:val="00913FAB"/>
    <w:rsid w:val="0097490A"/>
    <w:rsid w:val="009845A6"/>
    <w:rsid w:val="009A5449"/>
    <w:rsid w:val="009C62C1"/>
    <w:rsid w:val="009D14AF"/>
    <w:rsid w:val="009E4954"/>
    <w:rsid w:val="009F4E34"/>
    <w:rsid w:val="009F6763"/>
    <w:rsid w:val="00A33D4A"/>
    <w:rsid w:val="00A41DCD"/>
    <w:rsid w:val="00A9061E"/>
    <w:rsid w:val="00AB05DB"/>
    <w:rsid w:val="00AB6F48"/>
    <w:rsid w:val="00AC111A"/>
    <w:rsid w:val="00B0414A"/>
    <w:rsid w:val="00B66F53"/>
    <w:rsid w:val="00B7774C"/>
    <w:rsid w:val="00B831A2"/>
    <w:rsid w:val="00BA5102"/>
    <w:rsid w:val="00BC1D74"/>
    <w:rsid w:val="00BC3A71"/>
    <w:rsid w:val="00C229F7"/>
    <w:rsid w:val="00C40344"/>
    <w:rsid w:val="00C40530"/>
    <w:rsid w:val="00C94B5B"/>
    <w:rsid w:val="00CA2F0F"/>
    <w:rsid w:val="00CC6EC4"/>
    <w:rsid w:val="00CD1723"/>
    <w:rsid w:val="00D05AAE"/>
    <w:rsid w:val="00D56416"/>
    <w:rsid w:val="00D84412"/>
    <w:rsid w:val="00DC7846"/>
    <w:rsid w:val="00DC7EF8"/>
    <w:rsid w:val="00DE74F3"/>
    <w:rsid w:val="00DF3E38"/>
    <w:rsid w:val="00DF5AFE"/>
    <w:rsid w:val="00E2373D"/>
    <w:rsid w:val="00E24CB3"/>
    <w:rsid w:val="00E32A32"/>
    <w:rsid w:val="00E52AFF"/>
    <w:rsid w:val="00E56BEE"/>
    <w:rsid w:val="00E66DDA"/>
    <w:rsid w:val="00E73A79"/>
    <w:rsid w:val="00E74585"/>
    <w:rsid w:val="00E74C68"/>
    <w:rsid w:val="00E92811"/>
    <w:rsid w:val="00EC5331"/>
    <w:rsid w:val="00EE26C0"/>
    <w:rsid w:val="00EE5E51"/>
    <w:rsid w:val="00F04963"/>
    <w:rsid w:val="00F402CD"/>
    <w:rsid w:val="00F46770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8DEA"/>
  <w15:chartTrackingRefBased/>
  <w15:docId w15:val="{B3703426-12DE-4B08-A0A7-AC3D45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Huffman</dc:creator>
  <cp:keywords/>
  <dc:description/>
  <cp:lastModifiedBy>Jennifer Correa</cp:lastModifiedBy>
  <cp:revision>2</cp:revision>
  <dcterms:created xsi:type="dcterms:W3CDTF">2021-03-05T15:15:00Z</dcterms:created>
  <dcterms:modified xsi:type="dcterms:W3CDTF">2021-03-05T15:15:00Z</dcterms:modified>
</cp:coreProperties>
</file>