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127"/>
        <w:gridCol w:w="540"/>
        <w:gridCol w:w="822"/>
        <w:gridCol w:w="2841"/>
        <w:gridCol w:w="1822"/>
      </w:tblGrid>
      <w:tr w:rsidR="00ED7E22" w:rsidRPr="00037658" w14:paraId="36939988" w14:textId="77777777" w:rsidTr="00912D68">
        <w:tc>
          <w:tcPr>
            <w:tcW w:w="9152" w:type="dxa"/>
            <w:gridSpan w:val="5"/>
            <w:tcBorders>
              <w:bottom w:val="nil"/>
            </w:tcBorders>
            <w:shd w:val="clear" w:color="auto" w:fill="F1700F"/>
          </w:tcPr>
          <w:p w14:paraId="5E9C8B29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Project Overview</w:t>
            </w:r>
          </w:p>
        </w:tc>
      </w:tr>
      <w:tr w:rsidR="00ED7E22" w:rsidRPr="00037658" w14:paraId="52386257" w14:textId="77777777" w:rsidTr="00912D68">
        <w:tc>
          <w:tcPr>
            <w:tcW w:w="9152" w:type="dxa"/>
            <w:gridSpan w:val="5"/>
            <w:tcBorders>
              <w:top w:val="nil"/>
            </w:tcBorders>
          </w:tcPr>
          <w:p w14:paraId="5775D6F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EC586EB" w14:textId="4CAC138E" w:rsidR="00ED7E22" w:rsidRDefault="0008551B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Long-term follow-up (LTFU) for EVAR and TEVAR in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SoVONeT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is below the national VQI LTFU rate for EVAR and TEVAR procedures.</w:t>
            </w:r>
          </w:p>
          <w:p w14:paraId="56ECB714" w14:textId="58E3770D" w:rsidR="00ED7E22" w:rsidRPr="00037658" w:rsidRDefault="0008551B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Memorial Hermann Hospital SE created an EPIC LTFU VQI note template that improved their LTFU capture by 20%. </w:t>
            </w:r>
          </w:p>
        </w:tc>
      </w:tr>
      <w:tr w:rsidR="00ED7E22" w:rsidRPr="00037658" w14:paraId="6E67ADD9" w14:textId="77777777" w:rsidTr="00912D68">
        <w:tc>
          <w:tcPr>
            <w:tcW w:w="9152" w:type="dxa"/>
            <w:gridSpan w:val="5"/>
          </w:tcPr>
          <w:p w14:paraId="7BE07EA6" w14:textId="6986F7B8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 </w:t>
            </w:r>
            <w:r w:rsidR="0008551B">
              <w:rPr>
                <w:rFonts w:cstheme="minorHAnsi"/>
                <w:bCs/>
                <w:sz w:val="24"/>
                <w:szCs w:val="24"/>
              </w:rPr>
              <w:t xml:space="preserve">Improve LTFU in </w:t>
            </w:r>
            <w:proofErr w:type="spellStart"/>
            <w:r w:rsidR="0008551B">
              <w:rPr>
                <w:rFonts w:cstheme="minorHAnsi"/>
                <w:bCs/>
                <w:sz w:val="24"/>
                <w:szCs w:val="24"/>
              </w:rPr>
              <w:t>SoVONeT</w:t>
            </w:r>
            <w:proofErr w:type="spellEnd"/>
            <w:r w:rsidR="0008551B">
              <w:rPr>
                <w:rFonts w:cstheme="minorHAnsi"/>
                <w:bCs/>
                <w:sz w:val="24"/>
                <w:szCs w:val="24"/>
              </w:rPr>
              <w:t xml:space="preserve"> by 10% in 1</w:t>
            </w:r>
            <w:r w:rsidR="00912D68">
              <w:rPr>
                <w:rFonts w:cstheme="minorHAnsi"/>
                <w:bCs/>
                <w:sz w:val="24"/>
                <w:szCs w:val="24"/>
              </w:rPr>
              <w:t>8</w:t>
            </w:r>
            <w:r w:rsidR="0008551B">
              <w:rPr>
                <w:rFonts w:cstheme="minorHAnsi"/>
                <w:bCs/>
                <w:sz w:val="24"/>
                <w:szCs w:val="24"/>
              </w:rPr>
              <w:t xml:space="preserve"> months</w:t>
            </w:r>
          </w:p>
        </w:tc>
      </w:tr>
      <w:tr w:rsidR="00ED7E22" w:rsidRPr="00037658" w14:paraId="3356B916" w14:textId="77777777" w:rsidTr="00912D68">
        <w:tc>
          <w:tcPr>
            <w:tcW w:w="9152" w:type="dxa"/>
            <w:gridSpan w:val="5"/>
          </w:tcPr>
          <w:p w14:paraId="53AD65AB" w14:textId="77777777" w:rsidR="0008551B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1A854E4D" w14:textId="4DDA8858" w:rsidR="00ED7E22" w:rsidRPr="00037658" w:rsidRDefault="0008551B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This improvement will be available to all EPIC users who have access to the EPIC Foundation Library</w:t>
            </w:r>
          </w:p>
          <w:p w14:paraId="7EEF09C5" w14:textId="224BF05A" w:rsidR="00ED7E22" w:rsidRPr="00037658" w:rsidRDefault="0008551B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Limitations are largely IT implantation of the EPIC note template at individual hospitals</w:t>
            </w:r>
          </w:p>
        </w:tc>
      </w:tr>
      <w:tr w:rsidR="00ED7E22" w:rsidRPr="00037658" w14:paraId="0FEAE1A7" w14:textId="77777777" w:rsidTr="00912D68">
        <w:tc>
          <w:tcPr>
            <w:tcW w:w="9152" w:type="dxa"/>
            <w:gridSpan w:val="5"/>
          </w:tcPr>
          <w:p w14:paraId="210757D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6594937C" w14:textId="4E2FFEB9" w:rsidR="00ED7E22" w:rsidRPr="00037658" w:rsidRDefault="00912D68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We will share the EPIC smart phrase EPIC LTFU VWI note in the EPIC Foundation Library to improve consistency in documentation of EPIC LTFU measures available to all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SoVONeT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and VQI members</w:t>
            </w:r>
          </w:p>
        </w:tc>
      </w:tr>
      <w:tr w:rsidR="00ED7E22" w:rsidRPr="00037658" w14:paraId="10C2F0DF" w14:textId="77777777" w:rsidTr="00912D68">
        <w:tc>
          <w:tcPr>
            <w:tcW w:w="9152" w:type="dxa"/>
            <w:gridSpan w:val="5"/>
            <w:tcBorders>
              <w:bottom w:val="nil"/>
            </w:tcBorders>
          </w:tcPr>
          <w:p w14:paraId="40DF82D5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9AB03F0" w14:textId="0ED39D50" w:rsidR="00ED7E22" w:rsidRPr="00037658" w:rsidRDefault="00912D68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Template is already created.  Limitation is time to load into EPIC foundation library and time for clinics in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SoVONeT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to upload the template into their EPIC system</w:t>
            </w:r>
          </w:p>
        </w:tc>
      </w:tr>
      <w:tr w:rsidR="00ED7E22" w:rsidRPr="00037658" w14:paraId="063333AB" w14:textId="77777777" w:rsidTr="00912D68">
        <w:tc>
          <w:tcPr>
            <w:tcW w:w="36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14:paraId="219F56F5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14:paraId="78D7B477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Milestones</w:t>
            </w:r>
          </w:p>
        </w:tc>
      </w:tr>
      <w:tr w:rsidR="00912D68" w:rsidRPr="00037658" w14:paraId="6E6A09C7" w14:textId="77777777" w:rsidTr="00CA26E2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1D31A" w14:textId="05D1EA0E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  <w:r w:rsidR="00CA26E2">
              <w:rPr>
                <w:rFonts w:cstheme="minorHAnsi"/>
                <w:b/>
                <w:bCs/>
                <w:sz w:val="24"/>
                <w:szCs w:val="24"/>
              </w:rPr>
              <w:t xml:space="preserve">          </w:t>
            </w:r>
          </w:p>
          <w:p w14:paraId="5F1C7E2F" w14:textId="774B0F29" w:rsidR="00ED7E22" w:rsidRPr="00037658" w:rsidRDefault="00912D68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10% improvement in EVAR and TEVAR Sac Diameter reporting</w:t>
            </w:r>
          </w:p>
          <w:p w14:paraId="6321C71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2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DF740E" w14:textId="078820D6" w:rsidR="00ED7E22" w:rsidRPr="00CA26E2" w:rsidRDefault="00ED7E22" w:rsidP="00CA26E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A26E2">
              <w:rPr>
                <w:rFonts w:cstheme="minorHAnsi"/>
                <w:b/>
                <w:bCs/>
                <w:sz w:val="24"/>
                <w:szCs w:val="24"/>
              </w:rPr>
              <w:t>Milestone / Description:</w:t>
            </w:r>
          </w:p>
          <w:p w14:paraId="3A4A8588" w14:textId="2F01692A" w:rsidR="00CA26E2" w:rsidRPr="00CA26E2" w:rsidRDefault="00912D68" w:rsidP="00CA26E2">
            <w:pPr>
              <w:pStyle w:val="ListParagraph"/>
              <w:numPr>
                <w:ilvl w:val="0"/>
                <w:numId w:val="5"/>
              </w:num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A26E2">
              <w:rPr>
                <w:rFonts w:cstheme="minorHAnsi"/>
                <w:bCs/>
                <w:sz w:val="24"/>
                <w:szCs w:val="24"/>
              </w:rPr>
              <w:t xml:space="preserve">Determine which </w:t>
            </w:r>
            <w:proofErr w:type="spellStart"/>
            <w:r w:rsidRPr="00CA26E2">
              <w:rPr>
                <w:rFonts w:cstheme="minorHAnsi"/>
                <w:bCs/>
                <w:sz w:val="24"/>
                <w:szCs w:val="24"/>
              </w:rPr>
              <w:t>SoVONeT</w:t>
            </w:r>
            <w:proofErr w:type="spellEnd"/>
            <w:r w:rsidRPr="00CA26E2">
              <w:rPr>
                <w:rFonts w:cstheme="minorHAnsi"/>
                <w:bCs/>
                <w:sz w:val="24"/>
                <w:szCs w:val="24"/>
              </w:rPr>
              <w:t xml:space="preserve"> centers use EPIC</w:t>
            </w:r>
          </w:p>
          <w:p w14:paraId="1474077E" w14:textId="7849979E" w:rsidR="00ED7E22" w:rsidRPr="00912D68" w:rsidRDefault="00912D68" w:rsidP="00912D68">
            <w:pPr>
              <w:pStyle w:val="ListParagraph"/>
              <w:numPr>
                <w:ilvl w:val="0"/>
                <w:numId w:val="5"/>
              </w:num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912D68">
              <w:rPr>
                <w:rFonts w:cstheme="minorHAnsi"/>
                <w:bCs/>
                <w:sz w:val="24"/>
                <w:szCs w:val="24"/>
              </w:rPr>
              <w:t>Load LTFU VQI template to EPIC Foundation Library</w:t>
            </w:r>
          </w:p>
          <w:p w14:paraId="42502E69" w14:textId="1E68B503" w:rsidR="00ED7E22" w:rsidRDefault="00912D68" w:rsidP="00912D68">
            <w:pPr>
              <w:pStyle w:val="ListParagraph"/>
              <w:numPr>
                <w:ilvl w:val="0"/>
                <w:numId w:val="5"/>
              </w:num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912D68">
              <w:rPr>
                <w:rFonts w:cstheme="minorHAnsi"/>
                <w:bCs/>
                <w:sz w:val="24"/>
                <w:szCs w:val="24"/>
              </w:rPr>
              <w:t>Inform all centers using EPIC and advise to implement to their clinics</w:t>
            </w:r>
          </w:p>
          <w:p w14:paraId="2A888470" w14:textId="1398C1EC" w:rsidR="00912D68" w:rsidRDefault="00CA26E2" w:rsidP="00912D68">
            <w:pPr>
              <w:pStyle w:val="ListParagraph"/>
              <w:numPr>
                <w:ilvl w:val="0"/>
                <w:numId w:val="5"/>
              </w:num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Follow-up with hospitals   regarding implementation        </w:t>
            </w:r>
          </w:p>
          <w:p w14:paraId="3F07132C" w14:textId="6823F021" w:rsidR="00ED7E22" w:rsidRPr="00CA26E2" w:rsidRDefault="00CA26E2" w:rsidP="00CA26E2">
            <w:pPr>
              <w:pStyle w:val="ListParagraph"/>
              <w:numPr>
                <w:ilvl w:val="0"/>
                <w:numId w:val="5"/>
              </w:num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Assess LTFU pre and post -    implementation                        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763B1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  (</w:t>
            </w:r>
            <w:proofErr w:type="gram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mm/</w:t>
            </w:r>
            <w:proofErr w:type="spell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yy</w:t>
            </w:r>
            <w:proofErr w:type="spell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  <w:p w14:paraId="38383593" w14:textId="09DE9673" w:rsidR="00ED7E22" w:rsidRPr="00037658" w:rsidRDefault="00CA26E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12/24</w:t>
            </w:r>
          </w:p>
          <w:p w14:paraId="30E09CD8" w14:textId="77777777" w:rsidR="00912D68" w:rsidRPr="00037658" w:rsidRDefault="00912D68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4D84A03" w14:textId="77777777" w:rsidR="00CA26E2" w:rsidRDefault="00CA26E2" w:rsidP="00CA2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01/24</w:t>
            </w:r>
          </w:p>
          <w:p w14:paraId="4156F9BB" w14:textId="77777777" w:rsidR="00912D68" w:rsidRDefault="00912D68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5D81DF0" w14:textId="77777777" w:rsidR="00CA26E2" w:rsidRDefault="00CA26E2" w:rsidP="00CA2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2/24</w:t>
            </w:r>
          </w:p>
          <w:p w14:paraId="523F387E" w14:textId="77777777" w:rsidR="00912D68" w:rsidRPr="00037658" w:rsidRDefault="00912D68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B4C8FFF" w14:textId="74200A89" w:rsidR="00ED7E22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935827C" w14:textId="77777777" w:rsidR="00CA26E2" w:rsidRDefault="00CA26E2" w:rsidP="00CA26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3-8/24  </w:t>
            </w:r>
          </w:p>
          <w:p w14:paraId="37940B67" w14:textId="4C919202" w:rsidR="00CA26E2" w:rsidRDefault="00CA26E2" w:rsidP="00CA26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7AB477" w14:textId="45864F00" w:rsidR="00CA26E2" w:rsidRPr="00CA26E2" w:rsidRDefault="00CA26E2" w:rsidP="00CA26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9/24 thru 6/25</w:t>
            </w:r>
          </w:p>
        </w:tc>
      </w:tr>
      <w:tr w:rsidR="00912D68" w:rsidRPr="00037658" w14:paraId="67238207" w14:textId="77777777" w:rsidTr="00CA26E2">
        <w:trPr>
          <w:trHeight w:val="864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FB3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14:paraId="018485B8" w14:textId="286ED14D" w:rsidR="00ED7E22" w:rsidRPr="00037658" w:rsidRDefault="00912D68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Work with Data Managers to learn date of implementation of new EPIC template</w:t>
            </w:r>
          </w:p>
        </w:tc>
        <w:tc>
          <w:tcPr>
            <w:tcW w:w="42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0A91A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nil"/>
              <w:bottom w:val="nil"/>
            </w:tcBorders>
          </w:tcPr>
          <w:p w14:paraId="3481804B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33712FDF" w14:textId="77777777" w:rsidTr="00912D68">
        <w:tc>
          <w:tcPr>
            <w:tcW w:w="9152" w:type="dxa"/>
            <w:gridSpan w:val="5"/>
            <w:tcBorders>
              <w:top w:val="nil"/>
              <w:bottom w:val="nil"/>
            </w:tcBorders>
            <w:shd w:val="clear" w:color="auto" w:fill="F1700F"/>
          </w:tcPr>
          <w:p w14:paraId="58403D0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037658" w14:paraId="4AF78BA9" w14:textId="77777777" w:rsidTr="00912D68">
        <w:tc>
          <w:tcPr>
            <w:tcW w:w="44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6560E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Exec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1AF8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Clinical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45951C12" w14:textId="77777777" w:rsidTr="00912D68">
        <w:tc>
          <w:tcPr>
            <w:tcW w:w="44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BDFF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68CD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Process Owner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11093D2A" w14:textId="77777777" w:rsidTr="00912D68">
        <w:tc>
          <w:tcPr>
            <w:tcW w:w="4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2B8FB" w14:textId="3B690FB2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Project</w:t>
            </w:r>
            <w:r w:rsidRPr="00037658">
              <w:rPr>
                <w:rFonts w:cstheme="minorHAnsi"/>
                <w:b/>
                <w:bCs/>
                <w:szCs w:val="24"/>
              </w:rPr>
              <w:t xml:space="preserve"> Leader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  <w:r w:rsidR="00EB562A">
              <w:rPr>
                <w:rFonts w:cstheme="minorHAnsi"/>
                <w:bCs/>
                <w:szCs w:val="24"/>
              </w:rPr>
              <w:t>Sheila M. Coogan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31E0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Team Members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</w:tbl>
    <w:p w14:paraId="2A7C1F1E" w14:textId="77777777" w:rsidR="00F909CE" w:rsidRDefault="00F909CE"/>
    <w:sectPr w:rsidR="00F909CE" w:rsidSect="00807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EA7B" w14:textId="77777777" w:rsidR="00250E6F" w:rsidRDefault="00250E6F" w:rsidP="000C55BF">
      <w:pPr>
        <w:spacing w:line="240" w:lineRule="auto"/>
      </w:pPr>
      <w:r>
        <w:separator/>
      </w:r>
    </w:p>
  </w:endnote>
  <w:endnote w:type="continuationSeparator" w:id="0">
    <w:p w14:paraId="79A8949E" w14:textId="77777777" w:rsidR="00250E6F" w:rsidRDefault="00250E6F" w:rsidP="000C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8F1E" w14:textId="77777777" w:rsidR="00FF0A74" w:rsidRDefault="00FF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737" w14:textId="77777777" w:rsidR="00FF0A74" w:rsidRDefault="00FF0A74" w:rsidP="00FF0A74">
    <w:pPr>
      <w:pStyle w:val="Footer"/>
      <w:ind w:left="3960" w:firstLine="4680"/>
    </w:pPr>
    <w:r>
      <w:t xml:space="preserve">Page </w:t>
    </w:r>
    <w:sdt>
      <w:sdtPr>
        <w:id w:val="1869863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63B248C" w14:textId="77777777" w:rsidR="000C55BF" w:rsidRDefault="000C5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912" w14:textId="77777777" w:rsidR="00FF0A74" w:rsidRDefault="00FF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638C" w14:textId="77777777" w:rsidR="00250E6F" w:rsidRDefault="00250E6F" w:rsidP="000C55BF">
      <w:pPr>
        <w:spacing w:line="240" w:lineRule="auto"/>
      </w:pPr>
      <w:r>
        <w:separator/>
      </w:r>
    </w:p>
  </w:footnote>
  <w:footnote w:type="continuationSeparator" w:id="0">
    <w:p w14:paraId="26E7D198" w14:textId="77777777" w:rsidR="00250E6F" w:rsidRDefault="00250E6F" w:rsidP="000C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B08F" w14:textId="77777777" w:rsidR="00FF0A74" w:rsidRDefault="00FF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A09" w14:textId="77777777" w:rsidR="000C55BF" w:rsidRPr="000C55BF" w:rsidRDefault="000C55BF" w:rsidP="000C55BF">
    <w:pPr>
      <w:pStyle w:val="Header"/>
      <w:ind w:firstLine="180"/>
      <w:rPr>
        <w:b/>
        <w:color w:val="C00000"/>
        <w:sz w:val="28"/>
        <w:szCs w:val="28"/>
      </w:rPr>
    </w:pPr>
    <w:r w:rsidRPr="000C55BF">
      <w:rPr>
        <w:b/>
        <w:noProof/>
        <w:color w:val="C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7CAE91B2" wp14:editId="5018542C">
          <wp:simplePos x="0" y="0"/>
          <wp:positionH relativeFrom="margin">
            <wp:posOffset>4419600</wp:posOffset>
          </wp:positionH>
          <wp:positionV relativeFrom="paragraph">
            <wp:posOffset>-266700</wp:posOffset>
          </wp:positionV>
          <wp:extent cx="1496695" cy="714375"/>
          <wp:effectExtent l="0" t="0" r="825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pso-logo-CMYK-saf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5BF">
      <w:rPr>
        <w:b/>
        <w:color w:val="C00000"/>
        <w:sz w:val="28"/>
        <w:szCs w:val="28"/>
      </w:rPr>
      <w:t>QI PROJECT CHARTER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F1EE" w14:textId="77777777" w:rsidR="00FF0A74" w:rsidRDefault="00FF0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693"/>
    <w:multiLevelType w:val="hybridMultilevel"/>
    <w:tmpl w:val="6EF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467"/>
    <w:multiLevelType w:val="hybridMultilevel"/>
    <w:tmpl w:val="65E0D26C"/>
    <w:lvl w:ilvl="0" w:tplc="5B90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699C"/>
    <w:multiLevelType w:val="hybridMultilevel"/>
    <w:tmpl w:val="D8863D0C"/>
    <w:lvl w:ilvl="0" w:tplc="59D4B4C8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71852"/>
    <w:multiLevelType w:val="hybridMultilevel"/>
    <w:tmpl w:val="30CEB2C8"/>
    <w:lvl w:ilvl="0" w:tplc="3724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A7206"/>
    <w:multiLevelType w:val="hybridMultilevel"/>
    <w:tmpl w:val="632CF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7467430">
    <w:abstractNumId w:val="2"/>
  </w:num>
  <w:num w:numId="2" w16cid:durableId="749082333">
    <w:abstractNumId w:val="0"/>
  </w:num>
  <w:num w:numId="3" w16cid:durableId="1449546083">
    <w:abstractNumId w:val="1"/>
  </w:num>
  <w:num w:numId="4" w16cid:durableId="1415122955">
    <w:abstractNumId w:val="3"/>
  </w:num>
  <w:num w:numId="5" w16cid:durableId="1736009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22"/>
    <w:rsid w:val="0008551B"/>
    <w:rsid w:val="000C55BF"/>
    <w:rsid w:val="00146AC1"/>
    <w:rsid w:val="00250E6F"/>
    <w:rsid w:val="00397FED"/>
    <w:rsid w:val="006B6D2D"/>
    <w:rsid w:val="00775AC9"/>
    <w:rsid w:val="00807995"/>
    <w:rsid w:val="00912D68"/>
    <w:rsid w:val="00952C5C"/>
    <w:rsid w:val="00A11CE9"/>
    <w:rsid w:val="00C44711"/>
    <w:rsid w:val="00CA1F03"/>
    <w:rsid w:val="00CA26E2"/>
    <w:rsid w:val="00DE7D33"/>
    <w:rsid w:val="00EB562A"/>
    <w:rsid w:val="00ED7E22"/>
    <w:rsid w:val="00F909CE"/>
    <w:rsid w:val="00FB3BD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15987"/>
  <w15:chartTrackingRefBased/>
  <w15:docId w15:val="{E34320D6-84D1-4BCE-BC06-7902AFCC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2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F"/>
  </w:style>
  <w:style w:type="paragraph" w:styleId="Footer">
    <w:name w:val="footer"/>
    <w:basedOn w:val="Normal"/>
    <w:link w:val="Foot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Caputo</dc:creator>
  <cp:keywords/>
  <dc:description/>
  <cp:lastModifiedBy>Betsy Wymer</cp:lastModifiedBy>
  <cp:revision>2</cp:revision>
  <dcterms:created xsi:type="dcterms:W3CDTF">2023-11-07T16:57:00Z</dcterms:created>
  <dcterms:modified xsi:type="dcterms:W3CDTF">2023-11-07T16:57:00Z</dcterms:modified>
</cp:coreProperties>
</file>